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danych, informacji i systemów teleinformatycznych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Bartczak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wykład + 15h ćwiczenia + 15h praca indywidualna + 15h zapoznanie się z literaturą, przygotowanie się do zajęć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ECTS
15h wykład + 15h ćwiczenia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1,50 ECTS 
15h ćwiczenia + 15h praca indywidualna + 15h zapoznanie się z literaturą, przygotowanie się do zajęć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bezpieczeństwo danych, informacji i systemów teleinformatycznych oraz zaznajomienie z zagrożeniami w kontekście poufności, integralności i dostępności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Regulamin przedmiotu oraz zasady jego zaliczenia. Założenia, definicje i klasyfikacja aspektów bezpieczeństwa danych i informacji. Definicja systemów krytycznych i niezawodności.
2. Atrybuty ochrony informacji. Tajność, integralność, dostępność, rozliczalność, autentyczność, niezaprzeczalność, niezawodność. Znaczenie podpisu elektronicznego oraz szyfrowania danych dla ochrony informacji.
3. Znaczenie bezpieczeństwa fizycznego i technicznego. Techniczne środki zapewnienia bezpieczeństwa fizycznego. Przykłady praktycznych rozwiązań. 
4. Charakterystyka systemu teleinformatycznego. Zagrożenia i ochrona danych w sieciach teleinformatycznych. Poziomy komputerowego bezpieczeństwa systemów operacyjnych. Zasady projektowania zabezpieczeń. Ataki na system teleinformatyczny.
5. Przeciwdziałanie zagrożeniom dla bezpieczeństwa informacji. Metody ochrony danych i informacji w systemach teleinformatycznych. Bezpieczeństwo i zasady tworzenia kopii zapasowych.
6. Infrastruktura wysokiej dostępności. Klastry, wirtualizacja. Kwestie bezpieczeństwa danych i informacji.
7. Zagadnienie cyberbezpieczeństwa w świetle bezpieczeństwa teleinformatycznego. Typologia aktualnych zagrożeń. Zapobieganie i zabezpieczenia. Przykłady ataków cybernetycznych.
8. Podsumowanie. Egzamin ustny – termin „0”.
B. Ćwiczenia: 
1. Organizacja i regulamin ćwiczeń. Podanie zasad zaliczenia.
2. Aspekty prawne, techniczne i fizyczne bezpieczeństwa danych i informacji. Prezentacje i dyskusja.
3. Charakterystyka i znaczenie podpisu elektronicznego oraz szyfrowania danych. Prezentacje i dyskusja.
4. Istota bezpieczeństwa teleinformatycznego. Przeciwdziałanie zagrożeniom dla bezpieczeństwa danych i informacji. Przegląd metod ochrony. Prezentacje i dyskusja.
5. Projekt i analiza bezpieczeństwa i niezawodności systemu teleinformatycznego. Prezentacje i dyskusja.
6. Projekt infrastruktury wysokiej dostępności. Określanie dostępności i procedury obsługi systemów. Prezentacje i dyskusja.
7. Przegląd aktualnych zagrożeń w zakresie cyberbezpieczeństwa. Atak cybernetyczny, a kwestie bezpieczeństwa danych i informacji. Prezentacje i dyskusja.
8. Podsumowanie i konsultacje. Rozliczenie ćwiczeń.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aktywny udział w debacie na zajęciach
2. Ocena sumatywna : egzamin ustny, ocena w zakresie 2 – 5; zaliczenie: uzyskanie oceny ≥3
B. Ćwiczenia: 
1. Ocena formatywna: ocena udziału w pracy zbiorowej, jednostkowej i grupowej.
2. Ocena sumatywna: terminowość wykonania projektów, zaliczenie wszystkich projektów oraz wynik rozmowy zaliczeniowej z prowadzącym.
E. Końcowa ocena z przedmiotu: od 2 do 5; do zaliczenia przedmiotu wymagane jest uzyskanie co najmniej oceny 3 zarówno z ćwiczeń, jak i z wykładu; waga: wykład: 0,5, ćwiczenia: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Białas A., 2019, Bezpieczeństwo informacji i usług w nowoczesnej instytucji i firmie, Warszawa: WNT
2.	Kowalewski J., Kowalewski M., 2017, Ochrona informacji i systemów teleinformatycznych w cyberprzestrzeni, Warszawa: Oficyna Wydawnicza Politechniki Warszawskiej
Uzupełniająca:
1.	Radziejewski R., 2019, Ochrona infrastruktury krytycznej. Teoria i praktyka, Warszawa: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Student zna i rozumie w pogłębionym stopniu wymaga-nia prawne i regulacyjne w zakresie bezpieczeństwa funkcjonowania infrastruktury krytycznej.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B2_W09: </w:t>
      </w:r>
    </w:p>
    <w:p>
      <w:pPr/>
      <w:r>
        <w:rPr/>
        <w:t xml:space="preserve">Student zna i rozumie fundamentalne dylematy współczesnej cywilizacji związane z bezpieczeństwem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Weryfikacja:	Egzamin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B2_U07: </w:t>
      </w:r>
    </w:p>
    <w:p>
      <w:pPr/>
      <w:r>
        <w:rPr/>
        <w:t xml:space="preserve">Student potrafi interpretować wymagania prawne i regu-lacyjne z zakresu bezpieczeństwa funkcjonowania organizacji i bezpieczeństwa infrastruktury krytycznej oraz przekładać je na procedury i wymagania we-wnętrzne w zakresie działalności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B2_U08: </w:t>
      </w:r>
    </w:p>
    <w:p>
      <w:pPr/>
      <w:r>
        <w:rPr/>
        <w:t xml:space="preserve">Student potrafi prawidłowo posługiwać się normami prawnymi przy rozwiązywaniu wybranych problemów zapewniania bezpieczeństwa organizacji (w tym organizacji sektora publicznego).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Student jest gotów do oceny stanu wiedzy (własnej i zespołu) oraz rozumie potrzebę uzupełniania jej w trybie ustawicznym.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Student jest gotów do uznawania znaczenia wiedzy z zakresu bezpieczeństwa w organizacji w rozwiązywaniu problemów poznawczych i praktycznych, z uwzględnieniem wsparcia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2026-10-01T20:45:18+02:00</dcterms:created>
  <dcterms:modified xsi:type="dcterms:W3CDTF">2026-10-01T20:45:18+02:00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