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Przyczynowa, podatnościowa i skutkowa ocena ryzyka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+ 20h laboratoria + 5h kons. grupowe + 5h kons. indywidualne + 10h zapoznanie się ze wskazana literaturą + 10h przygotowanie do zajęć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10h wykład + 20h laboratoria + 5h kons. grupowe + 5h kons.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1,33 ECTS 
20h laboratoria + 10h zapoznanie się ze wskazana literaturą + 10h przygotowanie do zajęć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ryzykiem, Podstawy podejścia procesowego</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rozszerzenie wiedzy studentów z obszaru zarządzania ryzykiem. Po zakończeniu kursu student ma zdobyć umiejętności pozwalające na dokonanie oceny ryzyka dla wybranego procesu biznesowego uwzględniając przyczyny zagrożeń, podatność obiektu na za-grożenia oraz skutek zagrożeń wraz z przyjęciem strategii reakcji na ryzyko</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Pomiar ryzyka (z uwzględnieniem rozszerzonych wzorów na ryzyko), Metody i narzędzia pomiaru ryzyka, 
3.	Postępowanie z ryzykiem, Założenia BIA, Typowe kroki w BIA, 
4.	Założenia teoretyczne foresight, Metody i techniki foresight, 
5.	Test zaliczeniowy
C. Laboratorium: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
10.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C. Laboratorium:
1. Ocena formatywna: Praca w zespołach 3-4 osobowych, Raport (max. 55 pkt.), Prezentacja (max. 15 pkt.) 
2. Ocena sumatywna: Na skali: 2,0; 3,0; 3,5; 4,0; 4,5; 5,0; (max. 70 pkt.)
E. Końcowa ocena z przedmiotu: 30% Wykład, 70%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w:t>
      </w:r>
    </w:p>
    <w:p>
      <w:pPr/>
      <w:r>
        <w:rPr/>
        <w:t xml:space="preserve">Student zna  zasady identyfikacji zagrożeń oraz anali-zy i zarządzania ryzykiem w zakresie obowiązujących teorii, podejść i metod ze szczególnym uwzględnieniem aspektów przyczynowych, podatnościowych i skutkowych</w:t>
      </w:r>
    </w:p>
    <w:p>
      <w:pPr>
        <w:spacing w:before="60"/>
      </w:pPr>
      <w:r>
        <w:rPr/>
        <w:t xml:space="preserve">Weryfikacja: </w:t>
      </w:r>
    </w:p>
    <w:p>
      <w:pPr>
        <w:spacing w:before="20" w:after="190"/>
      </w:pPr>
      <w:r>
        <w:rPr/>
        <w:t xml:space="preserve">Test zaliczeniowy, 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2026-10-03T19:06:50+02:00</dcterms:created>
  <dcterms:modified xsi:type="dcterms:W3CDTF">2026-10-03T19:06:50+02:00</dcterms:modified>
</cp:coreProperties>
</file>

<file path=docProps/custom.xml><?xml version="1.0" encoding="utf-8"?>
<Properties xmlns="http://schemas.openxmlformats.org/officeDocument/2006/custom-properties" xmlns:vt="http://schemas.openxmlformats.org/officeDocument/2006/docPropsVTypes"/>
</file>