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innowacyjności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Młodzianowski Daniel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ćwiczenia + 25h przygotowanie projektu + 5h przygotowanie do prezentacji +7h analiza literatury +3h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10h ćwiczenia + 3h konsultacje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ćwiczenia + 25h przygotowanie projektu + 5h przygotowanie do prezentacji +7h analiza literatury +3h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 innowacjami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oceny innowacyjności, znaczeniem innowacji i działalności badawczo-rozwojowej dla przedsiębiorstw, determinantami innowacyjności, procesem dyfuzji innowacji.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Rodzaje wdrażanych innowacji
2. Innowacyjność w Polsce
2. Innowacyjność w UE
3. Determinanty innowacyjności
5. Innowacyjność a przewaga konkurencyjna
4. Metody i techniki oceny innowacyjności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aktywności studenta, obecności na zajęciach, zaangażowania studenta w realizowane podczas zajęć przykłady oraz ich ewaluacja, ocena sposobu prezentacji przygotowanego projektu, projekt
2. Ocena sumatywna: Aktywność i zaangażowanie studenta (skala: 2-5,waga: 20%) Sposób prezentacji projektu (skala: 2-5, waga 20%), Ocena merytoryczna projektu (skala:2-5, waga 50%), obecność (skala 2-5, waga 10%)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OECD (2013), Podręcznik Oslo. Zasady gromadzenia i interpretacji danych dotyczących innowacji, &lt; http://home.agh.edu.pl/~kkulak/lib/exe/fetch.php?media=user:konrad:vary:oslo-manual.pdf&gt; [dostęp 12.05.2018]
2.	European Commission (2017), Innovation Union Scoreboard,&lt; http://ec.europa.eu/growth/industry/innovation/facts-figures/scoreboards_pl&gt; [dostęp 12.05.2018]
3.	Niedzielski P., 2011 Innowacyjność [w:] B. Matusiak (red.), Innowacje i transfer technologii, Warszawa: Wyd. PARP.
Uzupełniająca:
1.	Nawrocki T. 2012 Innowacyjność produktowa przedsiębiorstw. Metodyka oceny na przykładzie spółek giełdowych, Warszawa: Wyd. CedeWu.
2.	Krawczyk M. 2012 Finansowanie działalności innowacyjnej MŚP. Wybrane zagadnienia, Łódź: Wydawnictwo Uniwersytetu Łódzkiego.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Sala z tablicą i projektorem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Z1_W08: </w:t>
      </w:r>
    </w:p>
    <w:p>
      <w:pPr/>
      <w:r>
        <w:rPr/>
        <w:t xml:space="preserve">teorie oraz ogólną metodologię badań w zakresie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Z1_U08: </w:t>
      </w:r>
    </w:p>
    <w:p>
      <w:pPr/>
      <w:r>
        <w:rPr/>
        <w:t xml:space="preserve">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Z1_U07: </w:t>
      </w:r>
    </w:p>
    <w:p>
      <w:pPr/>
      <w:r>
        <w:rPr/>
        <w:t xml:space="preserve">identyfikować i interpretować podstawowe zjawiska i procesy społeczne z wykorzystaniem wiedzy z zakresu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2025-07-03T11:29:18+02:00</dcterms:created>
  <dcterms:modified xsi:type="dcterms:W3CDTF">2025-07-03T11:29:18+02:00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