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Prodziekan ds Nauczania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IC.MOB1xx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Na studiach II stopnia studenci specjalności Bioinżynieria, Inżynieria procesów ochrony środowiska i Inżynieria procesów przemysłowych są zobowiązani do uzyskania zaliczenia 60 godzin zajęć o łącznym wymiarze 3 ECTS spośród dowolnie wybranych przedmiotów zawartych w ofercie przedmiotów obieralnych.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zagadnieniami teoretycznymi i praktycznymi dotyczącymi wykładu obieralnego.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Przedmiotami obieralnymi na studiach II stopnia dla studentów danej specjalności są wybrane przedmioty obowiązkowe dla studentów pozostałych specjalności zawarte w programie studiów tych specjalności  i nie ujęte w planie przedmiotów obowiązkowych studiów na specjalności realizowanej przez studenta zgodnie z ofertą:
1. Ekologia (IPOŚ), dostępny dla IPP, BIO, IC.MOB101
2. Gospodarka odpadami stałymi (IPOŚ), dostępny dla IPP, BIO, IC.MOB102
3. Procesy transportowe w organizmach żywych (BIO), dostępny dla IPP, IPOŚ, IC.MOB103
4. Metody inżynierskie w zagadnieniach fizjologii (BIO), dostępny dla IPP, IPOŚ, IC.MOB104
5. Zasady zrównoważonego rozwoju w inż. proc. (IPP), dostępny dla BIO, IPOŚ, IC.MOB105
6. Symulacja komputerowa procesów przemysłowych (IPP), dostępny dla BIO, IPOŚ, 15W+45L, 3 ECTS, IC.MOB106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wg. prowadzącego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ugruntowaną wiedzę z zakresu tematyki przedmiotu obieralnego.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wg.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Rozumie podstawy fizyczne i chemiczne procesów dotyczących przedmiotu obieralnego.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wg.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Zna język angielski na poziomie B2 + i potrafi posługiwać się językiem specjalistycznym z zakresu przedmiotu obieralnego.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wg.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postepować zgodnie z wymogami ekologii i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wg.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pozyskiwać informację z literatury, potrafi je interpretować oraz wyciagać wnioski oraz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wg.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U5: </w:t>
      </w:r>
    </w:p>
    <w:p>
      <w:pPr/>
      <w:r>
        <w:rPr/>
        <w:t xml:space="preserve">Potrafi porozumieć się przy użyciu różnych technik w środowisku zawodowym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wg.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Potrafi identyfikować i rozstrzygać problemy związane z szeroko pojętą inżynierią chemiczną i procesową.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wg.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p>
      <w:pPr>
        <w:keepNext w:val="1"/>
        <w:spacing w:after="10"/>
      </w:pPr>
      <w:r>
        <w:rPr>
          <w:b/>
          <w:bCs/>
        </w:rPr>
        <w:t xml:space="preserve">Efekt KS2: </w:t>
      </w:r>
    </w:p>
    <w:p>
      <w:pPr/>
      <w:r>
        <w:rPr/>
        <w:t xml:space="preserve">Potrafi mysleć i działać w sposób przędsiebiorczy.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wg.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2025-06-26T18:15:13+02:00</dcterms:created>
  <dcterms:modified xsi:type="dcterms:W3CDTF">2025-06-26T18:15:13+02:00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