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metalach/ Texture in Metals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-15, udział w ćwiczeniach - 15 godz. oraz samodzielna praca studenta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Plastycznego, Krystalografia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biegunowych, oraz zaliczenie kolokwium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1997.
2. Texture and Microstructure, vol 14-18, editor H.J. Bunge,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TWMET_W1: </w:t>
      </w:r>
    </w:p>
    <w:p>
      <w:pPr/>
      <w:r>
        <w:rPr/>
        <w:t xml:space="preserve">Student zdobywa wiedzę w zakresie kształtowania tekstury w materiałach metalicznych.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TWMET_U1: </w:t>
      </w:r>
    </w:p>
    <w:p>
      <w:pPr/>
      <w:r>
        <w:rPr/>
        <w:t xml:space="preserve">Nabycie umiejętności rozwiązywania figur biegunowych.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2025-07-05T08:33:57+02:00</dcterms:created>
  <dcterms:modified xsi:type="dcterms:W3CDTF">2025-07-05T08:33:57+02:00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