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 Assessment: Iron Alloys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EMSZ_1: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charakterystyki kierunkowe: </w:t>
      </w:r>
      <w:r>
        <w:rPr/>
        <w:t xml:space="preserve">IM1_W06, IM1_W11,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EMSZ_U1: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IM1_U07, 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EMSZ_U2: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IM1_U09, IM1_U15</w:t>
      </w:r>
    </w:p>
    <w:p>
      <w:pPr>
        <w:spacing w:before="20" w:after="190"/>
      </w:pPr>
      <w:r>
        <w:rPr>
          <w:b/>
          <w:bCs/>
        </w:rPr>
        <w:t xml:space="preserve">Powiązane charakterystyki obszarowe: </w:t>
      </w:r>
      <w:r>
        <w:rPr/>
        <w:t xml:space="preserve">I.P6S_UW, III.P6S_UW.1.o, III.P6S_UW.2.o, III.P6S_UW.4.o,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2026-10-21T14:00:56+02:00</dcterms:created>
  <dcterms:modified xsi:type="dcterms:W3CDTF">2026-10-21T14:00:56+02:00</dcterms:modified>
</cp:coreProperties>
</file>

<file path=docProps/custom.xml><?xml version="1.0" encoding="utf-8"?>
<Properties xmlns="http://schemas.openxmlformats.org/officeDocument/2006/custom-properties" xmlns:vt="http://schemas.openxmlformats.org/officeDocument/2006/docPropsVTypes"/>
</file>