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Mechanika/ 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100 godz. pracy studenta poświęconych rozwiązywaniu zadań (3 punkty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 - 15 godz., ćwiczenia - 30 godz, konsultacje do wykładów i ćwiczeń - 30 godz., razem : 75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zagadnień z Kinematyki i 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Równania ruchu punktu w różnych układach współrzędnych. Ruch ciała sztywnego: postępowy, obrotowy wokół osi stałej, płaski, z uwzględnieniem ruchu punktu względem ruchomego układu współrzędnych. Dynamika: Dynamiczne równania ruchu punktu w różnych układach współrzędnych. Twierdzenia o przyrostach pędu, krętu i energii punktu materialnego, układu punktów i ciał sztywnych. Podstawy teorii drgań układów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3-5 kolokwiów w trakcie semestru, pisemny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Maroński: Materiały do wykładu.
2. F.P. Beer, E.R. Johnston: Vector Mechanics for Engineers, McGraw-Hill, wiele wydań.
3. J. Leyko: Mechanika Ogólna, PWN, vol. 2, wiele wydań.
 4. Dowolny podręcznik akademicki z Mechaniki Ogólnej.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Mech_W1: </w:t>
      </w:r>
    </w:p>
    <w:p>
      <w:pPr/>
      <w:r>
        <w:rPr/>
        <w:t xml:space="preserve">Student umie ułożyć równania ruchu punktu w różnych układach współrzędnych. Rozróżnia rodzaje ruchów ciała sztywnego. Zna twierdzenia o przyrostach pędu, krętu i energii punktu materialnego, układu punktów i ciał sztywnych. Zna podstawy teorii drgań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Mech_U1: </w:t>
      </w:r>
    </w:p>
    <w:p>
      <w:pPr/>
      <w:r>
        <w:rPr/>
        <w:t xml:space="preserve">Student umie rozwiązywać proste problemy z zakresu mechaniki niutonowskiej. Student na podstawie wiedzy uzyskanej w trakcie zajęć, a także przeprowadzonej analizy literatury fachowej rozwija poprzez pracę własną swoje umiejętności i wiedzę z zakresu zagadnień mechaniki.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Mech_K01: </w:t>
      </w:r>
    </w:p>
    <w:p>
      <w:pPr/>
      <w:r>
        <w:rPr/>
        <w:t xml:space="preserve">Student ma potrzebę uczenia się przez całe życie. Rozumie problem dezaktualizacji nabytej wiedzy – będący wynikiem zachodzących w świecie nauki zmian, w tym pojawiania się nowych odkryć.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2026-06-16T23:04:07+02:00</dcterms:created>
  <dcterms:modified xsi:type="dcterms:W3CDTF">2026-06-16T23:04:07+02:00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