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TR.NMP308</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godz.,studiowanie literatury przedmiotu 20 godz., przygotowanie się do egzaminu z wykładu 18 godz., konsultacje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(22 godz., w tym: praca na  wykładach 18 godz.,, konsultacje 2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Tr2A_U01, Tr2A_U04</w:t>
      </w:r>
    </w:p>
    <w:p>
      <w:pPr>
        <w:spacing w:before="20" w:after="190"/>
      </w:pPr>
      <w:r>
        <w:rPr>
          <w:b/>
          <w:bCs/>
        </w:rPr>
        <w:t xml:space="preserve">Powiązane charakterystyki obszarowe: </w:t>
      </w:r>
      <w:r>
        <w:rPr/>
        <w:t xml:space="preserve">I.P7S_UW, II.T.P7S_UW.2,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charakterystyki kierunkowe: </w:t>
      </w:r>
      <w:r>
        <w:rPr/>
        <w:t xml:space="preserve">Tr2A_K01, Tr2A_K02, Tr2A_K04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2026-09-28T01:18:49+02:00</dcterms:created>
  <dcterms:modified xsi:type="dcterms:W3CDTF">2026-09-28T01:18:49+02:00</dcterms:modified>
</cp:coreProperties>
</file>

<file path=docProps/custom.xml><?xml version="1.0" encoding="utf-8"?>
<Properties xmlns="http://schemas.openxmlformats.org/officeDocument/2006/custom-properties" xmlns:vt="http://schemas.openxmlformats.org/officeDocument/2006/docPropsVTypes"/>
</file>