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planowania transportu</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30 godz., studiowanie literatury przedmiotu 6 godz., konsultacje 3 godz., przygotowanie się do zajęć 10 godz., wykonanie pracy projektowej poza godzinami zajęć 15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(49 godz., w tym: praca na wykładach 15 godz., praca na ćwiczeniach laboratoryjnych 30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(48 godz., w tym: praca na ćwiczeniach projektowych 30 godz., konsultacje w zakresie projektu 2 godz., wykonanie pracy projektowej poza godzinami zajęć 15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Znajomość podstawowych pojęć dotyczących inżynierii ruchu drogowego, oraz modelowania systemów transportowych.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Nabycie wiedzy i umiejętności potrzebnych do stosowania narzędzi do komputerowego wspomagania  planowania i projektowania rozwiązań transportowych. Poznanie i zastosowanie narzędzi wspomagania komputerowego do modelowania układów drogowych, analiz zjawisk zachodzących na skrzyżowaniach i sieciach drogowych.</w:t>
      </w:r>
    </w:p>
    <w:p>
      <w:pPr>
        <w:keepNext w:val="1"/>
        <w:spacing w:after="10"/>
      </w:pPr>
      <w:r>
        <w:rPr>
          <w:b/>
          <w:bCs/>
        </w:rPr>
        <w:t xml:space="preserve">Treści kształcenia: </w:t>
      </w:r>
    </w:p>
    <w:p>
      <w:pPr>
        <w:spacing w:before="20" w:after="190"/>
      </w:pPr>
      <w:r>
        <w:rPr/>
        <w:t xml:space="preserve">Wykład:
Wprowadzenie do modelowania ruchu drogowego za pomocą dedykowanego oprogramowania komputerowego. Praktyczne informacje dotyczące pracy z porgramami z pakietu PTV Vision: Vissim, Viswalk, Visum.
Laboratorium: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Badanie modeli ciągów drogowych - zastosowanie aplikacji komputerowej do analiz wpływu prędkości na wskaźniki efektywności przepływu strumieni pojazdów przez skoordynowany ciąg komunikacyjny.
Badanie modelu sieci transportu publicznego - zastosowanie aplikacji komputerowej do modelowania napełnień pojazdów transportu zbiorowego oraz symulacji swobodnego ruchu pieszych w obrębie przystanków transportu zbiorowego.
</w:t>
      </w:r>
    </w:p>
    <w:p>
      <w:pPr>
        <w:keepNext w:val="1"/>
        <w:spacing w:after="10"/>
      </w:pPr>
      <w:r>
        <w:rPr>
          <w:b/>
          <w:bCs/>
        </w:rPr>
        <w:t xml:space="preserve">Metody oceny: </w:t>
      </w:r>
    </w:p>
    <w:p>
      <w:pPr>
        <w:spacing w:before="20" w:after="190"/>
      </w:pPr>
      <w:r>
        <w:rPr/>
        <w:t xml:space="preserve">Laboratorium: poprawne wykonanie zadań wykonywanych na komputerze; 
Dodatkowo wykonanie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1)„PTV Vissim 9 User Manual”, PTV Planung Transport Verkehr AG 
2)"PTV Visum 17 User Manual”, PTV Planung Transport Verkehr AG
3) Trafficware, Synchro Studio 7 User Guide, Sugar  Land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Około 3 pytań otwartych na kolokwium z wykładu, w tym około 1 pytanie problemowe, (wymagane jest udzielenie poprawnej odpowiedzi na przynajmniej 55% z tych pytań) lub odpowiedź ustna podczas laboratorium.</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Zdobywa wiedzę dotyczącą zasad modelowania
potoków ruchu drogowego, skrzyżowań
niesterowanych, skrzyżowań sterowanych
cykliczną sygnalizacją świetlną oraz
symulacyjnej oceny efektywności ich
funkcjonowania.</w:t>
      </w:r>
    </w:p>
    <w:p>
      <w:pPr>
        <w:spacing w:before="60"/>
      </w:pPr>
      <w:r>
        <w:rPr/>
        <w:t xml:space="preserve">Weryfikacja: </w:t>
      </w:r>
    </w:p>
    <w:p>
      <w:pPr>
        <w:spacing w:before="20" w:after="190"/>
      </w:pPr>
      <w:r>
        <w:rPr/>
        <w:t xml:space="preserve">Około 3 pytań otwartych na kolokwium z wykładu, w tym około 1 pytanie problemowe, (wymagane jest udzielenie poprawnej odpowiedzi na przynajmniej 55% z tych pytań) lub odpowiedź ustna podczas laboratorium.</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odpowiedź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Absolwent 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Ocena prawidłowości wykonania modelu
symulacyjnego i opracowanego sprawozdania,
ew. odpowiedź ustna.</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na podstawie opracowanego sprawozdania,
ew. odpowiedź ustna
</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na podstawie opracowanego sprawozdania,
ew. odpowiedź ustna</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2026-09-27T18:54:41+02:00</dcterms:created>
  <dcterms:modified xsi:type="dcterms:W3CDTF">2026-09-27T18:54:41+02:00</dcterms:modified>
</cp:coreProperties>
</file>

<file path=docProps/custom.xml><?xml version="1.0" encoding="utf-8"?>
<Properties xmlns="http://schemas.openxmlformats.org/officeDocument/2006/custom-properties" xmlns:vt="http://schemas.openxmlformats.org/officeDocument/2006/docPropsVTypes"/>
</file>