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15 godz., praca na ćwiczeniach 15 godz., zapoznanie się ze wskazaną literaturą 15 godz., przygotowanie się do kolokwiów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(wymagane udzielenie co najmnie 51% poprawnych odpowiedzi), zadanie projektowe (wymagane rozwiązanie co najmniej 51%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zna zasady obsługi i użytkowania urządzeń taboru w procesie prowadzenia ruchu i rozumie ich wpływ na problemy bezpieczeństwa w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Tr2A_U07</w:t>
      </w:r>
    </w:p>
    <w:p>
      <w:pPr>
        <w:spacing w:before="20" w:after="190"/>
      </w:pPr>
      <w:r>
        <w:rPr>
          <w:b/>
          <w:bCs/>
        </w:rPr>
        <w:t xml:space="preserve">Powiązane charakterystyki obszarowe: </w:t>
      </w:r>
      <w:r>
        <w:rPr/>
        <w:t xml:space="preserve">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2026-09-28T10:56:15+02:00</dcterms:created>
  <dcterms:modified xsi:type="dcterms:W3CDTF">2026-09-28T10:56:15+02:00</dcterms:modified>
</cp:coreProperties>
</file>

<file path=docProps/custom.xml><?xml version="1.0" encoding="utf-8"?>
<Properties xmlns="http://schemas.openxmlformats.org/officeDocument/2006/custom-properties" xmlns:vt="http://schemas.openxmlformats.org/officeDocument/2006/docPropsVTypes"/>
</file>