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15 godz., praca na ćwiczeniach 15 godz., zapoznanie się ze wskazaną literaturą 15 godz., przygotowanie się do kolokwiów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(wymagane udzielenie co najmnie 51% poprawnych odpowiedzi), zadanie projektowe (wymagane rozwiązanie co najmniej 51%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zna zasady obsługi i użytkowania urządzeń taboru w procesie prowadzenia ruchu i rozumie ich wpływ na problemy bezpieczeństwa w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Tr2A_U07</w:t>
      </w:r>
    </w:p>
    <w:p>
      <w:pPr>
        <w:spacing w:before="20" w:after="190"/>
      </w:pPr>
      <w:r>
        <w:rPr>
          <w:b/>
          <w:bCs/>
        </w:rPr>
        <w:t xml:space="preserve">Powiązane charakterystyki obszarowe: </w:t>
      </w:r>
      <w:r>
        <w:rPr/>
        <w:t xml:space="preserve">III.P7S_UW.2.o, II.T.P7S_UW.2</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2026-10-19T08:00:48+02:00</dcterms:created>
  <dcterms:modified xsi:type="dcterms:W3CDTF">2026-10-19T08:00:48+02:00</dcterms:modified>
</cp:coreProperties>
</file>

<file path=docProps/custom.xml><?xml version="1.0" encoding="utf-8"?>
<Properties xmlns="http://schemas.openxmlformats.org/officeDocument/2006/custom-properties" xmlns:vt="http://schemas.openxmlformats.org/officeDocument/2006/docPropsVTypes"/>
</file>