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
 </w:t>
      </w:r>
    </w:p>
    <w:p>
      <w:pPr>
        <w:keepNext w:val="1"/>
        <w:spacing w:after="10"/>
      </w:pPr>
      <w:r>
        <w:rPr>
          <w:b/>
          <w:bCs/>
        </w:rPr>
        <w:t xml:space="preserve">Metody oceny: </w:t>
      </w:r>
    </w:p>
    <w:p>
      <w:pPr>
        <w:spacing w:before="20" w:after="190"/>
      </w:pPr>
      <w:r>
        <w:rPr/>
        <w:t xml:space="preserve">Na ocenę końcową wpływają: 5 zadań laboratoryjnych (razem 100 pkt), jedno kolokwium semestralne (30 pkt) oraz pisemny egzamin końcowy (30 pkt). Każde z zadań laboratoryjnych, kolokwium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D. Foley, A. van Dam, S. K. Feiner, J. F. Hughes, Computer Graphics, Principles and Practice, Addison-Wesley, 1990.
2. Foley J.D.,van Dam A., Introduction to computer graphics .Addison-Wesley 1990, 1994 (Wprowadzenie do grafiki komputerowej – WNT 95).
3. A. S. Glassner, Graphics GEMs. Academic Press, San Diego, 1990.</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K_U11,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K_U29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2026-10-02T23:35:00+02:00</dcterms:created>
  <dcterms:modified xsi:type="dcterms:W3CDTF">2026-10-02T23:35:00+02:00</dcterms:modified>
</cp:coreProperties>
</file>

<file path=docProps/custom.xml><?xml version="1.0" encoding="utf-8"?>
<Properties xmlns="http://schemas.openxmlformats.org/officeDocument/2006/custom-properties" xmlns:vt="http://schemas.openxmlformats.org/officeDocument/2006/docPropsVTypes"/>
</file>