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Rudnicki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i ćwiczenia 50 (2 ECTS);
Zapoznanie się z literaturą 22 (1 ECTS);
Przygotowanie do sprawdzianów  38 (1,5 ECTS);
Przygotowanie do egzaminu i udział w egzaminie 25 (1 ECTS);
Konsultacje i konwersatoria 20 (0,5 ECTS);
Rozwiązanie zadań domowych i opracowanie ich 20 (1 ECTS);
RAZEM: 175 (7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i ćwiczenia 50 (2 ECTS);
Egzamin 1, konsultacje i konwersatoria 20 (0,5 ECTS);
RAZEM: 71 (3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30; przygotowanie do sprawdzianów  38; rozwiązanie zadań domowych i opracowanie ich 20;
RAZEM: 88 (3,5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w zakresie programu szkoły średniej (wskazany egzamin maturalny na poziomie rozszerzonym) oraz znajomość przedmiotów "Analiza matematyczna" i "Algebra z geometrią" wykładanych na pierwszym semestrze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zdobywają wiedzę na temat pojęć oraz praw i zasad opisujących spoczynek i ruch układów złożonych z podstawowych elementów mechaniki, którymi są: punkt materialny i ciało sztywne, ze szczególnym uwzględnieniem ustrojów prętowych takich jak: belki, ramy, kratownice. Studenci poznają sposoby analizy typowych zagadnień mechaniki klasycznej Newtona-Eulera i mechaniki analitycznej Lagrange'a oraz nabywają umiejętności rozwiązywania zadań teoretycznych modelujących te zagadnienia.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Modele sił uogólnionych, Więzy i ich reakcje, Układy sił,  Spoczynek, Układy prętowe, Ruch, Tarcie suche statyczne i kinetyczne, Opory toczenia, Masa, Ciężar, Środek masy, Środek ciężkości, Moment statyczny, Momenty bezwładności osiowe i odśrodkowe, Prawa dynamiki Newtona, Zasada równowartości pacy i energii kinetycznej, Metoda kinetostatyki, "Siły" bezwładności d'Alemberta, Prawa dynamiki Eulera, Zasada prac wirtualnych w statyce i kinetyce. 
Ćwiczenia:
Moment wektora względem punktu, Belki, Ramy, Kratownice, Ustroje przestrzenne, Statyka układów płaskich z więzami jednostronnymi, Tarcie, Mechanika punktu materialnego, Mechanika ciała sztywnego, Mechanika układów materialnych, Zasada prac wirtualnych w statyce
Prace projektowe:
Praca nr 1. Reakcje podpór i siły wewnętrzne w przegubach ramy płaskiej statycznie wyznaczalnej, Praca nr 2. Reakcje podpór i siły wewnętrzne w prętach kratownicy płaskiej statycznie wyznaczalnej.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5 jednogodzinnych sprawdzianów (każdy max. 5 pkt) , 2 projekty ze statyki (każdy max. 5 pkt). Sprawdziany poprawkowe w sesji egzaminacyjnej letniej. 
Ocena z ćwiczeń: 0-20 pkt. 2.0, 20-23 pkt. 3.0, 23-26 pkt. 3.5, 26-29 pkt. 4.0, 29-32 pkt. 4.5, 32-35 pkt. 5.0.
Egzamin (pod warunkiem zaliczenia ćwiczeń) - 120 minut, 4 zadania po 5 pkt max. 
Ocena z egzaminu: 10-12 pkt. 3.0, 12-14 pkt. 3.5, 14-16 pkt. 4.0, 16-18 pkt. 4.5, 18-20 pkt. 5.0.
Ocena łączna według sumy punktów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Nagórski, Zarys mechaniki teoretycznej, Oficyna Wydawnicza PW;
[2] P. Wiśniakowski, Mechanika Teoretyczna, Oficyna Wydawnicza PW;
[3] P. Wiśniakowski, Mechanika Teoretyczna – zbiór 123 prostych zadań, Oficyna Wydawnicza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http://zmtimnk/, http://il.pw.edu.pl/~marr/ (Mechanika Teoretyczna)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METEORW1: </w:t>
      </w:r>
    </w:p>
    <w:p>
      <w:pPr/>
      <w:r>
        <w:rPr/>
        <w:t xml:space="preserve">Zna podstawowe pojęcia, założenia i twierdzenia (prawa, zasady) klasycznej mechaniki punku materialnego, sztywnej bryły materialnej i układu materialnego złożonego z tych elementów, w tym układu materialnego z więzami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METEORU1: </w:t>
      </w:r>
    </w:p>
    <w:p>
      <w:pPr/>
      <w:r>
        <w:rPr/>
        <w:t xml:space="preserve">Potrafi rozwiązywać podstawowe zadania z zakresu kinematyki i dynamiki punktu materialnego, bryły sztywnej oraz układu tych elementów, z wykorzystaniem twierdzeń, równań i metod dynamiki Newtona-Eulera i ewentualnie dynamiki Lagrange’a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sprawdzianów pisemnych zawierających zadania do samodzielnego rozwiązania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K1_U25,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T1A_U01, T1A_U05, T1A_U08, T1A_U09</w:t>
      </w:r>
    </w:p>
    <w:p>
      <w:pPr>
        <w:keepNext w:val="1"/>
        <w:spacing w:after="10"/>
      </w:pPr>
      <w:r>
        <w:rPr>
          <w:b/>
          <w:bCs/>
        </w:rPr>
        <w:t xml:space="preserve">Efekt METEORU2: </w:t>
      </w:r>
    </w:p>
    <w:p>
      <w:pPr/>
      <w:r>
        <w:rPr/>
        <w:t xml:space="preserve">Potrafi rozwiązywać podstawowe zadania z zakresu statyki układów materialnych, w tym podstawowych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Dwie prace domowe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METEORK1: </w:t>
      </w:r>
    </w:p>
    <w:p>
      <w:pPr/>
      <w:r>
        <w:rPr/>
        <w:t xml:space="preserve">Potrafi przedstawić sformułowania i rozwiązania problemów w postaci raportu z samodzielnej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Graficzna i opisowa odpowiedź do zadań zawartych w pracach domowych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2026-10-02T09:00:47+02:00</dcterms:created>
  <dcterms:modified xsi:type="dcterms:W3CDTF">2026-10-02T09:00:47+02:00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