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w:t>
      </w:r>
    </w:p>
    <w:p>
      <w:pPr>
        <w:keepNext w:val="1"/>
        <w:spacing w:after="10"/>
      </w:pPr>
      <w:r>
        <w:rPr>
          <w:b/>
          <w:bCs/>
        </w:rPr>
        <w:t xml:space="preserve">Koordynator przedmiotu: </w:t>
      </w:r>
    </w:p>
    <w:p>
      <w:pPr>
        <w:spacing w:before="20" w:after="190"/>
      </w:pPr>
      <w:r>
        <w:rPr/>
        <w:t xml:space="preserve">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CH.BMSA301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laboratoryjnych – 15h, 2.	przygotowanie do zajęć laboratoryjnych – 15h 3.	opracowanie wyników badań – 15h 4. przygotowanie do egzaminu – 10h.  Razem nakład pracy studenta: 70h,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exercises - 15h. Together: 15h + 15h = 60h. It gives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a broad introduction to chemical sensors and biosensors including: definitions, classification according to recognition elements and transduction systems, their working principles, working parameters and applications. 
After having completed the course the student should be able to :
• describe and characterise elements of sensors and biosensors and the principles of their operation,
• describe how biospecific interaction is used for various analytical applications,
• describe the most common sensors used today
• compare different techniques with emphasis on sensitivity and selectivity
• describe and critically evaluate a selected application of a biosensor</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Laboratory/Exercises:
Students will have a chance to get familiar with various signal transduction techniques and operation of chosen sensors, biosensors and their elements.</w:t>
      </w:r>
    </w:p>
    <w:p>
      <w:pPr>
        <w:keepNext w:val="1"/>
        <w:spacing w:after="10"/>
      </w:pPr>
      <w:r>
        <w:rPr>
          <w:b/>
          <w:bCs/>
        </w:rPr>
        <w:t xml:space="preserve">Metody oceny: </w:t>
      </w:r>
    </w:p>
    <w:p>
      <w:pPr>
        <w:spacing w:before="20" w:after="190"/>
      </w:pPr>
      <w:r>
        <w:rPr/>
        <w:t xml:space="preserve">Lecture: written test
Laboratory: preparation for classes and reports 
Grading criteria:
Lecture: 60% of your mark.
Lab/Exercises: 40% of your mark.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„Chemical sensors and biosensors”, B.R. Eggins, AnTS, John Wiley &amp; Sons, LTD, 2011
2. „Recognition receptors in biosensors”, Ed. M. Zourob, Springer, 2010
3. Analytical electrochemistry”, J.Wang, VCH Publischer, New York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2025-12-25T00:06:18+01:00</dcterms:created>
  <dcterms:modified xsi:type="dcterms:W3CDTF">2025-12-25T00:06:18+01:00</dcterms:modified>
</cp:coreProperties>
</file>

<file path=docProps/custom.xml><?xml version="1.0" encoding="utf-8"?>
<Properties xmlns="http://schemas.openxmlformats.org/officeDocument/2006/custom-properties" xmlns:vt="http://schemas.openxmlformats.org/officeDocument/2006/docPropsVTypes"/>
</file>