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1. Węzły koniczynka: klasyczne rozwiązania, z jezdniami zbierająco-rozprowadzającymi, z łącznicami półbezpośrednimi, możliwości etapowania. 
2. Węzły niepełna koniczynka: typy, szczegóły rozwiązań łącznic i skrzyżowań, zakres zastosowań, możliwości rozbudowy (3 godz.). 
3. Węzły karo miejskie: klasyczne, skanalizowane, z wyspą centralną, zespoły węzłów, szczegóły rozwiązań, prowadzenie ruchu pieszych i komunikacji zbiorowej. 
4. Węzły karo zamiejskie: ze skrzyżowaniami o przesuniętych wlotach, z rondami, szczegóły rozwiązań (6 godz.). 
5. Pasy wyłączania, włączania, jezdnie zbierająco-rozprowadzające (2 godz.). 
6. Przykłady rozwiązań dsr i węzłów (2 godz.). 
7. 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DROSR2W1: </w:t>
      </w:r>
    </w:p>
    <w:p>
      <w:pPr/>
      <w:r>
        <w:rPr/>
        <w:t xml:space="preserve">Zna zasady kształtowania dróg szybkiego ruchu z uwzględnieniem ograniczeń środowiskowych oraz interesu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DROSR2U1: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2026-10-02T01:07:31+02:00</dcterms:created>
  <dcterms:modified xsi:type="dcterms:W3CDTF">2026-10-02T01:07:31+02:00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