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inż.,Stanisław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77 godz. = 3 ECTS: wykłady 15 godz., ćwiczenia projektowe 30 godz., praca indywidualna przy wykonywaniu projektu 25 godz., konsultacje i obrona projektu 2 godz., studiowanie materiałów wykładowych, przygotowanie do zaliczenia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projektowe 30 godz., 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30 godz., praca indywidualna przy wykonywaniu projektu 25 godz., konsultacje i obrona projektu 2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Kominy stalowe: 
1. Charakterystyka ogólna kominów stalowych, klasyfikacja, rodzaje konstrukcji kominów, zagadnienia materiałowe, elementy konstrukcyjne kominów. 
2. Specyfika obciążeń i oddziaływań kominów, rodzaje obciążeń i oddziaływań, podstawowe charakterystyki dynamiczne komina, obciążenie wiatrem, działanie temperatury, wpływy korozyjne. 
3. Obliczanie kominów wolno stojących - przemieszczenie wierzchołka komina, stateczność miejscowa trzonu kominów, sprawdzenie nośności komina ze względu na zmęczenie, obliczenie zakotwienia podstawy trzonu komina i obliczanie połączeń kołnierzowych trzonu. 
II Estakady i dźwignice bramowe:
1. Obciążenia, schematy statyczne, konstrukcje przestrzenne estakad. 
2. Parametry techniczne dźwignic bramowych, schematy statyczne i konstrukcje suwnic bramowych. 
III Konstrukcje wsporcze halowego transportu podpartego:
1. Ogólna charakterystyka i grupy klasyfikacyjne suwnic i torów jezdnych. 
2. Podstawy projektowania belek podsuwnicowych, obciążenia, wytrzymałość zmęczeniowa belek. 
3. Konstrukcja i obliczanie belek podsuwnicowych, rodzaje belek, zasady kształtowania. 
4. Konstrukcje tężników, szczegóły konstrukcyjne belek podsuwnicowych, kozły odbojowe. 
IV Konstrukcje wsporcze transportu podwieszonego:
1. Tory jezdne suwnic podwieszonych. 
2. Obciążenia i sposoby obliczania torów jezdnych, szczegóły konstrukcyjne podwieszeń. 
V Rurociągi przesyłowe cieczy i gazów: 
1. Charakter pracy rurociągów. materiały i wyroby stosowane w rurociągach, wymiarowanie rurociągów. 
2. Przyczyny awarii rurociągów, problemy kruchych pęknięć, trwałość zmęczeniowa rurociągów. 
VI Podpory kolei linowych 
1. Informacje wstępne, podstawowe części podpory, wyposażenie podpory. 
2. Obciążenia i projektowanie słupów kolei linowych, warunki sztywności i inne zalecenia konstrukcyjne. 
VII Konstrukcje wsporcze elektroenergetycznych linii napowietrznych:
1. Charakterystyka ogólna, przeznaczenie i sposób pracy. 
2. Konstruowanie i obliczanie słupów linii energetycznych, szczegóły konstrukcyjne. 
VIII. Ćwiczenia projektowe semestralne (2 projekty): 
- komin stalowy jednopowłokowy wolnostojacy (projekt obejmuje obliczenia statyczne i wymiarowanie trzonu z uwzględnieniem zmęczenia, a także sporządzenie rysunków konstrukcyjnych), 
- belka podsuwnicowa transportu podpartego (projekt belki podsuwnicowej obejmuje obliczenia i wymiarowanie belki podsuwnicowej z tężnikiem kratowym i sporządzenie rysunków konstrukcyjnych).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
Zdanie kolokwium pisemnego z materiału wykładowego na ocenę co najmniej dostateczną.
Ocena łączna z przedmiotu jest średnią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 
[2] ZIÓŁKO J., WŁODARCZYK W., MENDERA Z., WŁODARCZYK S.: Stalowe konstrukcje specjalne, Arkady, Warszawa 1995;
[3] RYKALUK K.: Konstrukcje stalowe; Kominy, wieże, maszty, Oficyna Wydawnicza Politechniki Wrocławskiej, Wrocław 2007; 
[4] ŻMUDA J.: Projektowanie torów jezdnych suwnic i elektrowciągów, TiT 1997;
[5] ZIÓŁKO J., ORLIK G.: Montaż konstrukcji stalowych, Arkady, Warszawa 1980;
[6] BOGUCKI W., ŻYBURTOWICZ M.: Tablice do projektowania konstrukcji stalowych, Arkady,1996;
[7] PN-EN 1993-1-1-„Projektowanie konstrukcji stalowych. Cz.1.1: Reguły ogólne i reguły dla budynków”;
[8] PN-EN 1993-3-2 - Projektowanie konstrukcji stalowych. Cz. 3-2: Wieże, maszy i kominy - kominy;
[9] PN-EN 1993-6 - Projektowanie konstrukcji stalowych. Cz.6: Konstrukcje wsporcze suwnic.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BUDMETW1: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K2_W15_KBI, K2_W16_KBI,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T2A_W03, T2A_W04, T2A_W05, T2A_W06, T2A_W07, T2A_W03, T2A_W06, T2A_W05, T2A_W02, T2A_W05</w:t>
      </w:r>
    </w:p>
    <w:p>
      <w:pPr>
        <w:keepNext w:val="1"/>
        <w:spacing w:after="10"/>
      </w:pPr>
      <w:r>
        <w:rPr>
          <w:b/>
          <w:bCs/>
        </w:rPr>
        <w:t xml:space="preserve">Efekt BUDMETW2: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BUDMETW3: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BUDMETW5: </w:t>
      </w:r>
    </w:p>
    <w:p>
      <w:pPr/>
      <w:r>
        <w:rPr/>
        <w:t xml:space="preserve">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BUDMETW7: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BUDMETU1: </w:t>
      </w:r>
    </w:p>
    <w:p>
      <w:pPr/>
      <w:r>
        <w:rPr/>
        <w:t xml:space="preserve">Potrafi zaprojektować główną konstrukcję wsporczą suwnicy natorowej (belkę podsuwnicową)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K2_U12_KBI,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T2A_U15,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BUDMETU3: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</w:t>
      </w:r>
    </w:p>
    <w:p>
      <w:pPr>
        <w:keepNext w:val="1"/>
        <w:spacing w:after="10"/>
      </w:pPr>
      <w:r>
        <w:rPr>
          <w:b/>
          <w:bCs/>
        </w:rPr>
        <w:t xml:space="preserve">Efekt BUDMETU6: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BUDMETK1: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BUDMETK2: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2026-10-02T00:32:54+02:00</dcterms:created>
  <dcterms:modified xsi:type="dcterms:W3CDTF">2026-10-02T00:32:54+02:00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