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1 - przedmiot w wersjach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zależenie od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HESWY1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godz.= 2 ECTS: obecność na zajęciach 30 godz., praca własna studenta 20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godz.= 1 ECTS: obecność na zajęciach 
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Rozumienia technicznych i pozatechnicznych aspektów działalności człowieka. &lt;br&gt;
Inspirowanie do samokształcenia.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właściwe dla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właściwe dla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właściwy dla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HESWY1W1: </w:t>
      </w:r>
    </w:p>
    <w:p>
      <w:pPr/>
      <w:r>
        <w:rPr/>
        <w:t xml:space="preserve">							Właściwy dla przedmiotu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właściwy dla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HESWY1K1: </w:t>
      </w:r>
    </w:p>
    <w:p>
      <w:pPr/>
      <w:r>
        <w:rPr/>
        <w:t xml:space="preserve">Rozumienie technicznych i pozatechnicznych aspektów działalności człowieka. Inspirowanie do samokształcenia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właściwy dla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2026-10-03T11:27:43+02:00</dcterms:created>
  <dcterms:modified xsi:type="dcterms:W3CDTF">2026-10-03T11:27:43+02:00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