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Nośność graniczna konstrukcji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Aleksander Szwed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1080-BU000-ISP-0616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60 godz. = 2 ECTS: obecność: wykład 15 godz., ćwiczenia 15 godz., zapoznanie się z literaturą 15 godz., przygotowanie i prezentacja ćwiczeń 15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30 godz. = 1 ECTS: obecność: wykład 15 godz., ćwiczenia 14 godz., prezentacja ćwiczeń domowych 1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30 godz. = 1 ECTS: zapoznanie się z literaturą do przedmiotu 15 godz., rozwiązanie i przygotowanie do prezentacji ćwiczeń domowych 15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Algebra i Geometria. Analiza matematyczna.  Wytrzymałość materiałów. Mechanika konstrukcji. Konstrukcje metalowe I. Konstrukcje betonowe 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 grupa - 30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i rozumienie założeń teorii stanów granicznych oraz znajomość równań ją definiujących. Umiejętność formułowania nośności przekrojów poprzecznych i rozwiązywania zagadnień nośności granicznej prostych układów prętowych.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Jednowymiarowe modele sprężystości i plastyczności oraz sprężysto-plastyczności. Transformacja Legendrea, dualność opisu. Analiza zagadnień sprężysto-plastycznego zachowania wybranych konstrukcji prętowych i płaskiego zginania belek.
Teoria nośności granicznej: stan nośności granicznej, hipoteza wytężenia i powierzchnia graniczna, prawo płynięcia, układ równań zagadnienia nośności, twierdzenia ekstremalne, jednoznaczność rozwiązania.
Konstrukcje prętowe: metody obliczania nośności granicznej – metoda rozwiązań sprężystych, metody bezpośrednie, metoda superpozycji mechanizmów podstawowych. Współdziałanie obciążeń. Zginanie z siłą podłużną.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Wykonanie ćwiczenia domowego i jego prezentacja.
Ocenianie ciągłe (obecność, aktywność).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Wojewódzki W.: Nośność graniczna konstrukcji prętowych, OWPW, Warszawa 2005.
[2] Wojewódzki W.: Nośność graniczna płyt, OWPW, Warszawa 2006.
[3] Olszak W., Perzyna P., Sawczuk A.: Teoria plastyczności. PWN, Warszawa 1965.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Zna podstawowe równania teorii stanów granicznych konstrukcji prętowych i wybranych metod ich rozwiązywania, prezentacja.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K1_W04, K1_W24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T1A_W05, T1A_W06, T1A_W07, T1A_W04, 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Umie oszacować nośność graniczną wybranych układów prętowych stosowanych w budownictwie. Potrafi wyznaczyć krzywe interakcji na poziomie przekroju poprzecznego i konstrukcji, projekt.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T1A_U05, T1A_U07, T1A_U13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K1: </w:t>
      </w:r>
    </w:p>
    <w:p>
      <w:pPr/>
      <w:r>
        <w:rPr/>
        <w:t xml:space="preserve">Ma poczucie potrzeby rzetelności i klarowności w przedstawieniu i interpretacji wyników swoich prac stosowanych w działalności inżynierskiej, projekt.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Przedstawienie prezentacji.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K1_K01, K1_K03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T1A_K01, T1A_K05, 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2025-09-19T00:47:23+02:00</dcterms:created>
  <dcterms:modified xsi:type="dcterms:W3CDTF">2025-09-19T00:47:23+02:00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