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Porter-Sobieraj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a. obecność na wykładach – 30 h
b. obecność na laboratoriach – 30 h
2. przygotowanie do zajęć laboratoryjnych – 50 h
3. zapoznanie się z literaturą – 10 h
4. konsultacje – 5 h
5. przygotowanie do egzaminu i obecność na egzaminie – 15 h
Razem nakład pracy studenta 140 h = 5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3. konsultacje  – 5 h
Razem: 65 h, co odpowiada 3 pkt.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50 h
Razem: 80 h, co odpowiada 3 pkt.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Grafika komputerowa I, Modelowanie geometryczne.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technikami grafiki komputerowej, w szczególności z zaawansowanymi zagadnieniami przetwarzania i wizualizacji trójwymiarowych scen na potrzeby rzeczywistości wirtualnej (m.in. gier, symulacji komputerowych, systemów CAD/CAM). W ramach przedmiotu studenci poznają algorytmy renderowania obiektów, dobierają metody wizualizacji do specyfiki problemu oraz implementują je z wykorzystaniem API bibliotek graficznych i możliwości najnowszych kart graficznych.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Modele oświetlenia.
2.  Cieniowanie modeli wielościanowych.
3.  Teksturowanie powierzchni.
4.  Eliminacja krawędzi i ścian niewidocznych.
5.  Generowanie cieni.
6.  Wyświetlanie obiektów półprzezroczystych.
7.  Odbicia w powierzchniach zwierciadlanych.
8.  Antyaliasing.
9.  Triangulacja obciętych powierzchni krzywoliniowych. Triangulacja zbioru punktów.
10.  Animacja.
11.  Metody optymalnego wyświetlania terenu i scen zamkniętych.
12.  Metoda śledzenia promieni. Lokalizacja obliczeń.
13.  Metody oświetlenia globalnego.
14.  Sprzętowe wspomaganie wyświetlania. Jednostki cieniowania wierzchołków i pikseli.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może maksymalnie otrzymać 110 punktów (80 pkt. za zadania laboratoryjne i 30 pkt. za egzamin). Zajęcia laboratoryjne składają się z zadań rozwiązywanych indywidualnie lub w grupach dwuosobowych. Egzamin obejmuje materiał przedstawiamy na wykładzie. Ocena końcowa zależy od sumy zdobytych punktów i wystawiana jest zgodnie z następującymi zasadami: 0–50 punktów – brak zaliczenia, 51–60 – 3,0,  61–70 – 3,5, 71–80 – 4,0, 81–90 – 4,5, 91–110 –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Treglia (Editors) “Game Programming Gems Series”, Charles River Media, 2000-2002.
Fernando (Editors) “GPU Gems Series”, Pearson Education, 2004-2007.
Sweet “OpenGL Superbible”, Waite Group Press, 1999.
Luna “Introduction to 3D Game Programming with DirectX 9.0”, Wordware Publishing, Inc., 2003.
Hughes “Computer Graphics: Principles and Practice”, Addison-Wesley, 1990.
Zabrodzki (red): Grafika komputerowa, metody i narzędzia, WNT,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zaawansowane algorytmy i struktury danych do realistycznego i efektywnego przetwarzania i wyświetlania trójwymiarowych scen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CC_W03, CC_W05, CC_W11, CC_W13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przeanalizować wymagania w przedsięwzięciach związanych z wizualizacją komputerową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Posiada umiejętność selekcji i krytycznej interpretacji informacji technicznej oraz potrafi ją wykorzystać do rozwiązania problemów związanych z wydajnym przetwarzaniem i wizualizacją scen 3D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CC_U01, CC_U04, CC_U05, CC_U06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U2_03: </w:t>
      </w:r>
    </w:p>
    <w:p>
      <w:pPr/>
      <w:r>
        <w:rPr/>
        <w:t xml:space="preserve">Potrafi zaprojektować i zaimplementować efektywne algorytmy wyświetlenia przy użyciu bibliotek graficznych i możliwości najnowszych kart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CC_U07, CC_U09, CC_U11, CC_U12, CC_U16, CC_U17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Potrafi posługiwać się językiem angielskim w stopniu umożliwiającym bezproblemową komunikację w zakresie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projektów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CC_K08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2026-10-20T05:23:44+02:00</dcterms:created>
  <dcterms:modified xsi:type="dcterms:W3CDTF">2026-10-20T05:23:44+02:00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