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Porter-Sobieraj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a. obecność na wykładach – 30 h
b. obecność na laboratoriach – 30 h
2. przygotowanie do zajęć laboratoryjnych – 50 h
3. zapoznanie się z literaturą – 10 h
4. konsultacje – 5 h
5. przygotowanie do egzaminu i obecność na egzaminie – 15 h
Razem nakład pracy studenta 140 h = 5 pkt.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3. konsultacje  – 5 h
Razem: 65 h, co odpowiada 3 pkt.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50 h
Razem: 80 h, co odpowiada 3 pkt.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Grafika komputerowa I, Modelowanie geometryczne.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technikami grafiki komputerowej, w szczególności z zaawansowanymi zagadnieniami przetwarzania i wizualizacji trójwymiarowych scen na potrzeby rzeczywistości wirtualnej (m.in. gier, symulacji komputerowych, systemów CAD/CAM). W ramach przedmiotu studenci poznają algorytmy renderowania obiektów, dobierają metody wizualizacji do specyfiki problemu oraz implementują je z wykorzystaniem API bibliotek graficznych i możliwości najnowszych kart graficznych.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  Modele oświetlenia.
2.  Cieniowanie modeli wielościanowych.
3.  Teksturowanie powierzchni.
4.  Eliminacja krawędzi i ścian niewidocznych.
5.  Generowanie cieni.
6.  Wyświetlanie obiektów półprzezroczystych.
7.  Odbicia w powierzchniach zwierciadlanych.
8.  Antyaliasing.
9.  Triangulacja obciętych powierzchni krzywoliniowych. Triangulacja zbioru punktów.
10.  Animacja.
11.  Metody optymalnego wyświetlania terenu i scen zamkniętych.
12.  Metoda śledzenia promieni. Lokalizacja obliczeń.
13.  Metody oświetlenia globalnego.
14.  Sprzętowe wspomaganie wyświetlania. Jednostki cieniowania wierzchołków i pikseli.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może maksymalnie otrzymać 110 punktów (80 pkt. za zadania laboratoryjne i 30 pkt. za egzamin). Zajęcia laboratoryjne składają się z zadań rozwiązywanych indywidualnie lub w grupach dwuosobowych. Egzamin obejmuje materiał przedstawiamy na wykładzie. Ocena końcowa zależy od sumy zdobytych punktów i wystawiana jest zgodnie z następującymi zasadami: 0–50 punktów – brak zaliczenia, 51–60 – 3,0,  61–70 – 3,5, 71–80 – 4,0, 81–90 – 4,5, 91–110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Treglia (Editors) “Game Programming Gems Series”, Charles River Media, 2000-2002.
Fernando (Editors) “GPU Gems Series”, Pearson Education, 2004-2007.
Sweet “OpenGL Superbible”, Waite Group Press, 1999.
Luna “Introduction to 3D Game Programming with DirectX 9.0”, Wordware Publishing, Inc., 2003.
Hughes “Computer Graphics: Principles and Practice”, Addison-Wesley, 1990.
Zabrodzki (red): Grafika komputerowa, metody i narzędzia, WNT,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Zna zaawansowane algorytmy i struktury danych do realistycznego i efektywnego przetwarzania i wyświetlania trójwymiarowych scen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CC_W03, CC_W05, CC_W11, CC_W13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przeanalizować wymagania w przedsięwzięciach związanych z wizualizacją komputerową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projektów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Posiada umiejętność selekcji i krytycznej interpretacji informacji technicznej oraz potrafi ją wykorzystać do rozwiązania problemów związanych z wydajnym przetwarzaniem i wizualizacją scen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projektów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CC_U01, CC_U04, CC_U05, CC_U06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U2_03: </w:t>
      </w:r>
    </w:p>
    <w:p>
      <w:pPr/>
      <w:r>
        <w:rPr/>
        <w:t xml:space="preserve">Potrafi zaprojektować i zaimplementować efektywne algorytmy wyświetlenia przy użyciu bibliotek graficznych i możliwości najnowszych kart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CC_U17, CC_U07, CC_U09, CC_U11, CC_U12, CC_U16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Posiada zdolność do kontynuacji kształcenia oraz świadomość potrzeby samokształcenia w ramach procesu kształcenia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K2_02: </w:t>
      </w:r>
    </w:p>
    <w:p>
      <w:pPr/>
      <w:r>
        <w:rPr/>
        <w:t xml:space="preserve">Potrafi posługiwać się językiem angielskim w stopniu umożliwiającym bezproblemową komunikację w zakresie grafiki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projektów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2026-09-05T03:10:33+02:00</dcterms:created>
  <dcterms:modified xsi:type="dcterms:W3CDTF">2026-09-05T03:10:33+02:00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