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ćwiczeń, rozwiązanie prac domowych – 20 h
3. przygotowanie do zajęć laboratoryjnych – 45 h
4. zapoznanie się z literaturą – 10 h
5. konsultacje – 5 h
6. przygotowanie do egzaminu i obecność na egzaminie – 20 h
Razem nakład pracy studenta 190 h = 6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ćwiczeń, rozwiązanie prac domowych – 20 h
4. przygotowanie do zajęć laboratoryjnych – 45 h
Razem: 125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Posiada podstawową wiedzę w zakresie fizyki klasycznej i geometrii różniczkowej;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Posiada wiedzę o przydatnych  algorytmach numerycznych i kombinatorycznych modelowania przestrzeni konfiguracji takich jak: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W2_03  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W2_04   : </w:t>
      </w:r>
    </w:p>
    <w:p>
      <w:pPr/>
      <w:r>
        <w:rPr/>
        <w:t xml:space="preserve">Posiada wiedzę o parametrach dynamiki interakcji użytkownika z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   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CC_U06, CC_U07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   : </w:t>
      </w:r>
    </w:p>
    <w:p>
      <w:pPr/>
      <w:r>
        <w:rPr/>
        <w:t xml:space="preserve">Jest przygotowany do prac informatycznych w zespole badawczym 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ćwiczeniach, prac domowych i zadań laboratoryjnych;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posługiwać się językiem angielskim w stopniu umożliwiającym bezproblemową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2026-08-17T11:42:02+02:00</dcterms:created>
  <dcterms:modified xsi:type="dcterms:W3CDTF">2026-08-17T11:42:02+02:00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