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 godz. ;
b) laboratorium - 15 godz. ;
c) konsultacje - 3 godz. ;
2) Praca własna studenta godziny:
a) przygotowanie do ćwiczeń - 18 godz. ;
b) przygotowanie się do kolokwiów przeprowadzanych w ramach ćwiczeń - 10 godz.
c) przygotowanie się do testów przeprowadzanych w ramach wykładu – 10 godz. 
d) studia literaturowe - 15 godz. ;
Suma 101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36 godz., w tym:
a) laboratorium - 15 godz. ;
b) konsultacje - 3 godz. ;
c)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i twierdzenia statystyki. Statystyka opisowa. Analiza wariancji. Wielowymiarowa analiza kowariancji i korelacji. Wielowymiarowa analiza regresji.
Laboratorium:
Zastosowanie programu „Statgraphics” do rozwiązywania problemów z zakresu oceny próbek, analizy wariancji, analizy korelacji i wielowymiarowej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TIPE_2st_W01: </w:t>
      </w:r>
    </w:p>
    <w:p>
      <w:pPr/>
      <w:r>
        <w:rPr/>
        <w:t xml:space="preserve">Student uzyskuje wiedzę na temat istoty oraz zastosowań statystycznych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TIPE_2st_W02: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TIPE_2st_U01: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TIPE_2st_U02: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TIPE_2st_K01: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2026-09-27T03:44:28+02:00</dcterms:created>
  <dcterms:modified xsi:type="dcterms:W3CDTF">2026-09-27T03:44:28+02:00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