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mechaniki i biomechaniki inżynierskiej. Znajomość języka angielskiego na poziomie umożliwiającym czytanie i rozumienie treści artykułów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MWB_2st_W01: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MWB_2st_W02: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MWB_2st_W03: </w:t>
      </w:r>
    </w:p>
    <w:p>
      <w:pPr/>
      <w:r>
        <w:rPr/>
        <w:t xml:space="preserve">Posiada szczegółową wiedzę w zakresie biomechaniki układu ruchu człowieka, w szczególności generowania siły mięśniowej oraz analizy biomechanicznej w układach statycznie wyznaczalnych i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MWB_2st_U01: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MWB_2st_U02: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keepNext w:val="1"/>
        <w:spacing w:after="10"/>
      </w:pPr>
      <w:r>
        <w:rPr>
          <w:b/>
          <w:bCs/>
        </w:rPr>
        <w:t xml:space="preserve">Efekt MWB_2st_U03: </w:t>
      </w:r>
    </w:p>
    <w:p>
      <w:pPr/>
      <w:r>
        <w:rPr/>
        <w:t xml:space="preserve">Umie samodzielnie zdobywać nowe umiejętności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MWB_2st_U04: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MWB_2st_K01: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MWB_2st_K02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2026-09-27T10:17:03+02:00</dcterms:created>
  <dcterms:modified xsi:type="dcterms:W3CDTF">2026-09-27T10:17:03+02:00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