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w tym:
•	Wykład 45 godz.
•	Ćwiczenia 15 godz.
•	Konsultacje – 2 godz.
•	Egzamin – 2 godz,
2) Praca własna studenta: 65 godz.
•	Studia literaturowe, samodzielne rozwiązywanie zadań – 30 godz.
•	Przygotowanie się do kolokwiów – 20 godz.
•	Przygotowanie się do egzaminu – 15 godz.
Razem : 129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w tym:
•	Wykład 45 godz.
•	Ćwiczenia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PA_W01: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PA_U03: </w:t>
      </w:r>
    </w:p>
    <w:p>
      <w:pPr/>
      <w:r>
        <w:rPr/>
        <w:t xml:space="preserve">Potrafi zaprojektować układy regulacji o typowej strukturze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2026-09-30T14:28:43+02:00</dcterms:created>
  <dcterms:modified xsi:type="dcterms:W3CDTF">2026-09-30T14:28:43+02:00</dcterms:modified>
</cp:coreProperties>
</file>

<file path=docProps/custom.xml><?xml version="1.0" encoding="utf-8"?>
<Properties xmlns="http://schemas.openxmlformats.org/officeDocument/2006/custom-properties" xmlns:vt="http://schemas.openxmlformats.org/officeDocument/2006/docPropsVTypes"/>
</file>