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2</w:t>
      </w:r>
    </w:p>
    <w:p>
      <w:pPr>
        <w:keepNext w:val="1"/>
        <w:spacing w:after="10"/>
      </w:pPr>
      <w:r>
        <w:rPr>
          <w:b/>
          <w:bCs/>
        </w:rPr>
        <w:t xml:space="preserve">Koordynator przedmiotu: </w:t>
      </w:r>
    </w:p>
    <w:p>
      <w:pPr>
        <w:spacing w:before="20" w:after="190"/>
      </w:pPr>
      <w:r>
        <w:rPr/>
        <w:t xml:space="preserve">dr inż. Anna Ostaszewska-Liżewska;  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17, w tym: a) projekt :15 b) konsultacje – 2.
 2) Praca własna studenta przy opracowaniu projektów 10 godz. Suma: 27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 Liczba godzin bezpośrednich 17, w tym: projekt :15,  konsultacje: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o charakterze praktycznym 27, w tym: a) projekt :15 b) konsultacje: 2 c)przygotowanie projektów 10 godz. razem: 27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zagadnień z przedmiotów: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1.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2.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3.Centralizacja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na podstawie ocen z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Tłaczała Wiesław "Środowisko LabVIEW w eksperymencie wspomaganym komputerowo", WNT, Warszawa 2002
2. Winiecki Wiesław, Nowak Jacek, Stanik Sławomir "Graficzne zintegrowane środowiska programowe do projektowania komputerowych systemów pomiarowo-kontrolnych". MIKOM, Warszawa 2001
3. Stadler Adam Witold "Systemy akwizycji i przesyłania danych", Oficyna Wydawnicza Politechniki Rzeszowskiej, Rzeszów 2002
4. Lesiak Piotr, Świsulski Dariusz "Komputerowa technika pomiarowa w przykładach", Agenda Wydawnicza PAK, Warszawa 2002
5. Nawrocki Waldemar "Rozproszone systemy pomiarowe", WKŁ, Warszawa 2006
6. Winiecki Wiesław "Organizacja komputerowych systemów pomiarowych", Oficyna Wydawnicza Politechniki Warszawskiej, Warszawa 2006
7. Tumański Sławomir "Technika pomiarowa", WNT, Warszawa 2007
8. http://www.ni.com
9.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IP2_W1: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T1A_W02, T1A_W02, T1A_W04, T1A_W03, T1A_W04</w:t>
      </w:r>
    </w:p>
    <w:p>
      <w:pPr>
        <w:pStyle w:val="Heading3"/>
      </w:pPr>
      <w:bookmarkStart w:id="3" w:name="_Toc3"/>
      <w:r>
        <w:t>Profil ogólnoakademicki - umiejętności</w:t>
      </w:r>
      <w:bookmarkEnd w:id="3"/>
    </w:p>
    <w:p>
      <w:pPr>
        <w:keepNext w:val="1"/>
        <w:spacing w:after="10"/>
      </w:pPr>
      <w:r>
        <w:rPr>
          <w:b/>
          <w:bCs/>
        </w:rPr>
        <w:t xml:space="preserve">Efekt IP2_U1: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K_U01, K_U22, K_U26</w:t>
      </w:r>
    </w:p>
    <w:p>
      <w:pPr>
        <w:spacing w:before="20" w:after="190"/>
      </w:pPr>
      <w:r>
        <w:rPr>
          <w:b/>
          <w:bCs/>
        </w:rPr>
        <w:t xml:space="preserve">Powiązane efekty obszarowe: </w:t>
      </w:r>
      <w:r>
        <w:rPr/>
        <w:t xml:space="preserve">T1A_U01, T1A_U07, T1A_U15, T1A_U10</w:t>
      </w:r>
    </w:p>
    <w:p>
      <w:pPr>
        <w:pStyle w:val="Heading3"/>
      </w:pPr>
      <w:bookmarkStart w:id="4" w:name="_Toc4"/>
      <w:r>
        <w:t>Profil ogólnoakademicki - kompetencje społeczne</w:t>
      </w:r>
      <w:bookmarkEnd w:id="4"/>
    </w:p>
    <w:p>
      <w:pPr>
        <w:keepNext w:val="1"/>
        <w:spacing w:after="10"/>
      </w:pPr>
      <w:r>
        <w:rPr>
          <w:b/>
          <w:bCs/>
        </w:rPr>
        <w:t xml:space="preserve">Efekt IP2_K1: </w:t>
      </w:r>
    </w:p>
    <w:p>
      <w:pPr/>
      <w:r>
        <w:rPr/>
        <w:t xml:space="preserve">Potrafi zachowywać się etycznie pracując w grupie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2026-05-29T20:56:26+02:00</dcterms:created>
  <dcterms:modified xsi:type="dcterms:W3CDTF">2026-05-29T20:56:26+02:00</dcterms:modified>
</cp:coreProperties>
</file>

<file path=docProps/custom.xml><?xml version="1.0" encoding="utf-8"?>
<Properties xmlns="http://schemas.openxmlformats.org/officeDocument/2006/custom-properties" xmlns:vt="http://schemas.openxmlformats.org/officeDocument/2006/docPropsVTypes"/>
</file>