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26 godz., w tym:
•	wykład – 15 godz.
•	ćwiczenia laboratoryjne – 4 godz.
•	prezentacja i konsultacja projektu – 7 godz.
2)  Praca własna studenta – 51 godz., w tym:
•	realizacja projektu – 20 godz.
•	przygotowanie do kolokwium – 8 godz.
•	Przygotowanie do ćwiczeń – 3 godz.
•	Studia literaturowe –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 ECTS – 31 godz., w tym:
•	zapoznanie się z narzędziami – 5 godz.
•	bezpośrednia realizacja projektu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
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pozytywnych.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
Thomas Connolly, Carolyn Begg: "Systemy baz danych - Praktyczne metody projektowania, implementacji i zarządzania", tom 1 i 2, Wydawnictwo RM, 2004
Danuta Mendrala, Marcin Szeliga: "SQL - Praktyczny kurs", Wydanie II, Helion,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keepNext w:val="1"/>
        <w:spacing w:after="10"/>
      </w:pPr>
      <w:r>
        <w:rPr>
          <w:b/>
          <w:bCs/>
        </w:rPr>
        <w:t xml:space="preserve">Efekt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PSBD_K01: </w:t>
      </w:r>
    </w:p>
    <w:p>
      <w:pPr/>
      <w:r>
        <w:rPr/>
        <w:t xml:space="preserve">Potrafi pracować w zespole podczas realizacji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2026-10-19T09:29:00+02:00</dcterms:created>
  <dcterms:modified xsi:type="dcterms:W3CDTF">2026-10-19T09:29:00+02:00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