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w systemie Matlab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Kurek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PSM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32 godz., w tym:
•	wykład – 15 godz.
•	projekt – 15 godz.
•	konsultacje  - 2 godz.
2) Praca własna studenta – 50 godz., w tym:
•	przygotowanie do prjektu – 15 godz.
•	studia literaturowe – 5 godz.
•	wykonanie projektu – 25 godz.
•	przygotowanie do zaliczeń 5 godz.
Razem: 82 godz. (3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bezpośrednich: 32 godz., w tym: 
•	wykład – 15 godz.
•	projekt – 15 godz.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1.5 punktu ECTS – 40 godz., w tym:
•	projekt – 15 godz.
•	wykonanie projektu – 25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fizyka, podstawy automatyki.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programowania inżynierskiego w systemie Matlab i Simulink.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Wstęp. 
2. System Matlab. 
3. Język programowania systemu Matlab. 
4. Narzędzia systemu Matlab. 
5. Simulink. 
6. Programowanie symboliczne.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zaliczeniowe, ocena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Brzózka J., L. Dorobczyński, Programowanie w Matlab, Warszawa, Mikom, 1998. 
2. Kamińska A., B. Pańczyk, Matlab. Ćwiczenia z ..., Warszawa, Mikom, 2002. 
3. Mrozek B., Z. Mrozek, Matlab 6. Poradnik użytkownika, PLJ, 2001.
4. Mrozek B., Z. Mrozek, Matlab i Simulink. Poradnik użytkownika, wyd. II, Gliwice, Helion, 2004. 
5. Regel W., Obliczenia symboliczne i numeryczne w Matlab, Warszawa, Mikom, 2003. 
6. Szymkat M., Komputerowe wspomaganie w projektowaniu układów regulacji, Warszawa, WNT, 1993.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PSM_W01: </w:t>
      </w:r>
    </w:p>
    <w:p>
      <w:pPr/>
      <w:r>
        <w:rPr/>
        <w:t xml:space="preserve">Zna język programowania systemu Matlab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T1A_W03, T1A_W07</w:t>
      </w:r>
    </w:p>
    <w:p>
      <w:pPr>
        <w:keepNext w:val="1"/>
        <w:spacing w:after="10"/>
      </w:pPr>
      <w:r>
        <w:rPr>
          <w:b/>
          <w:bCs/>
        </w:rPr>
        <w:t xml:space="preserve">Efekt PSM_W02: </w:t>
      </w:r>
    </w:p>
    <w:p>
      <w:pPr/>
      <w:r>
        <w:rPr/>
        <w:t xml:space="preserve">Zna język programowania w środowisku Simulink systemu Matlab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PSM_U01: </w:t>
      </w:r>
    </w:p>
    <w:p>
      <w:pPr/>
      <w:r>
        <w:rPr/>
        <w:t xml:space="preserve">Potrafi przygotować w języku polskim dokumentację programu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</w:t>
      </w:r>
    </w:p>
    <w:p>
      <w:pPr>
        <w:keepNext w:val="1"/>
        <w:spacing w:after="10"/>
      </w:pPr>
      <w:r>
        <w:rPr>
          <w:b/>
          <w:bCs/>
        </w:rPr>
        <w:t xml:space="preserve">Efekt PSM_U02: </w:t>
      </w:r>
    </w:p>
    <w:p>
      <w:pPr/>
      <w:r>
        <w:rPr/>
        <w:t xml:space="preserve">Potrafi zamodelować liniowy układ dynamiczny na komputerze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K_U09,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T1A_U09, T1A_U16</w:t>
      </w:r>
    </w:p>
    <w:p>
      <w:pPr>
        <w:keepNext w:val="1"/>
        <w:spacing w:after="10"/>
      </w:pPr>
      <w:r>
        <w:rPr>
          <w:b/>
          <w:bCs/>
        </w:rPr>
        <w:t xml:space="preserve">Efekt PSM_U03: </w:t>
      </w:r>
    </w:p>
    <w:p>
      <w:pPr/>
      <w:r>
        <w:rPr/>
        <w:t xml:space="preserve">Potrafi zamodelować na komputerze układ regulacji z regulatorem PID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K_U09,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T1A_U09,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PSM_K01: </w:t>
      </w:r>
    </w:p>
    <w:p>
      <w:pPr/>
      <w:r>
        <w:rPr/>
        <w:t xml:space="preserve">Zna odpowiedzialność twórcy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2026-10-19T07:47:25+02:00</dcterms:created>
  <dcterms:modified xsi:type="dcterms:W3CDTF">2026-10-19T07:47:25+02:00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