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geometryczne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Pokojski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 w tym: 
a) laboratorium- 30 godz. ;
b) konsultacje – 5 godz. 
2. Praca własna studenta – 15 godzin, bieżące przygotowywanie się studenta do ćwiczeń laboratoryjnych, studia literaturowe,
3) RAZEM –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punktów ECTS  - liczba godzin kontaktowych 35, w tym:
a) laboratorium- 30 godz. ;
b) konsultacje – 5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1.8 punktu ECTS - 45 godz., w tym:
1)	15 godz. – przygotowywanie się do ćwiczeń laboratoryjnych
2)	30 godz. – laboratorium.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technikami parametrycznego modelowania geometrycznego 3D.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Tworzenie profilu 2D. Wstawianie więzów w profilu. Wymiarowanie parametryczne profilu. Tworzenie obiektów bryłowych za pomocą wyciągania (dodawanie i odejmowanie brył). Tworzenie otworów, zaokrąglanie, fazowanie krawędzi. 
2. Tworzenie obiektów  za pomocą obracania  (dodawanie i odejmowanie brył). Tworzenie obiektów referencyjnych (płaszczyzna, prosta, punkt).
3. Zaawansowane narzędzia budowy profili. Tworzenie obiektów  za pomocą przeciągania  (dodawanie i odejmowanie brył).  
4. Tworzenie obiektów  za pomocą bryły wieloprzekrojowej  (dodawanie i odejmowanie brył). Polecenie skorupa.
5. Metody powielania obiektów. Lustro, szyk prostokątny i kołowy, szyk użytkownika.
6. Modelowanie części osiowosymetrycznych (wałek, tarcza).
7. Modelowanie korpusu.
8. Modelowanie zespołów.  Analiza zespołu, znajdowanie kolizji. 
9. Tworzenie i symulacja mechanizmów.
10. Tworzenie dokumentacji 2D części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Każde ćwiczenie laboratorium jest oceniane (ocena zadania wykonanego przez studenta  podczas ćwiczenia). Wszystkie oceny muszą być pozytywne. Ocena za laboratorium jest średnią ocen ze wszystkich ćwiczeń.
W przypadku negatywnej oceny pracy kontrolnej prowadzący może poprosić studenta o stawienie się w terminie dodatkowym zajęć celem poprawy całego ćwiczenia laboratoryjnego (w przypadku poważnych braków w wymaganej wiedzy) lub może go poprosić o poprawę pracy kontrolnej w terminie do jednego tygodnia (w przypadku słabego przygotowania się studenta do zajęć). Każdą pracę kontrolną należy zaliczyć na ocenę pozytywną. Każdą pracę kontrolną można poprawiać tylko raz.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SolidWorks 2014. Projektowanie maszyn i konstrukcji. Praktyczne przykłady., Jerzy Domański, Helion.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http://www.simr.pw.edu.pl/ipbm/Instytut-Podstaw-Budowy-Maszyn/Zaklady/Zaklad-Mechaniki/Dydaktyka/IPBM_lab_mat_konstr_dzienne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1150-MB000-ISP-0121_W01: </w:t>
      </w:r>
    </w:p>
    <w:p>
      <w:pPr/>
      <w:r>
        <w:rPr/>
        <w:t xml:space="preserve">Zna parametryczny system do modelowania geometrycznego 3D.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1150-MB000-ISP-0121_U01: </w:t>
      </w:r>
    </w:p>
    <w:p>
      <w:pPr/>
      <w:r>
        <w:rPr/>
        <w:t xml:space="preserve">Posiada umiejętność tworzenia profilu 2D, wprowadzania więzów.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1150-MB000-ISP-0121_U02: </w:t>
      </w:r>
    </w:p>
    <w:p>
      <w:pPr/>
      <w:r>
        <w:rPr/>
        <w:t xml:space="preserve">Posiada umiejętność tworzenia modelu części za pomocą modelowania bryłowego.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1150-MB000-ISP-0121_U03: </w:t>
      </w:r>
    </w:p>
    <w:p>
      <w:pPr/>
      <w:r>
        <w:rPr/>
        <w:t xml:space="preserve">Posiada umiejętność tworzenia modelu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1150-MB000-ISP-0121_U04: </w:t>
      </w:r>
    </w:p>
    <w:p>
      <w:pPr/>
      <w:r>
        <w:rPr/>
        <w:t xml:space="preserve">Posiada umiejętność utworzenia dokumentacji rysunkowej dla modelu części
Potrafi zbudować parametryczny model geometryczny 3D części maszynowej.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1150-MB000-ISP-0121_U05: </w:t>
      </w:r>
    </w:p>
    <w:p>
      <w:pPr/>
      <w:r>
        <w:rPr/>
        <w:t xml:space="preserve">Potrafi zbudować parametryczny model geometryczny 3D części maszynowej.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1150-MB000-ISP-0121_K01: </w:t>
      </w:r>
    </w:p>
    <w:p>
      <w:pPr/>
      <w:r>
        <w:rPr/>
        <w:t xml:space="preserve">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2026-09-28T11:42:10+02:00</dcterms:created>
  <dcterms:modified xsi:type="dcterms:W3CDTF">2026-09-28T11:42:10+02:00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