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9 godz. laboratorium;
c) 2 godz. konsultacji.
2. Praca własna studenta - 
a) 25 godz. przygotowanie projektów;
b) 25 godz. - studiowanie literatury, przygotowanie się do kolokwiów.
Ogółem - 70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 Teoria powierzchni nośnej. Płaty o małym wydłużeniu i układy hybrydowe. Opływ płata przy dużych kątach natarcia, nieliniowe efekty aerodynamiczne. Przepływ transoniczny, podobieństwo transoniczne, skrzydło skośne. Opór falowy brył 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ZNK302_W3: </w:t>
      </w:r>
    </w:p>
    <w:p>
      <w:pPr/>
      <w:r>
        <w:rPr/>
        <w:t xml:space="preserve">Student posiada wiedzę odnośnie podstaw techniki laboratoryjnych pomiarów 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2026-07-26T17:20:56+02:00</dcterms:created>
  <dcterms:modified xsi:type="dcterms:W3CDTF">2026-07-26T17:20:56+02:00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