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9 godz. laboratorium;
c) 2 godz. konsultacji.
2. Praca własna studenta - 
a) 25 godz. przygotowanie projektów;
b) 25 godz. - studiowanie literatury, przygotowanie się do kolokwiów.
Ogółem - 70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 Teoria powierzchni nośnej. Płaty o małym wydłużeniu i układy hybrydowe. Opływ płata przy dużych kątach natarcia, nieliniowe efekty aerodynamiczne. Przepływ transoniczny, podobieństwo transoniczne, skrzydło skośne. Opór falowy brył 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ZNK302_W3: </w:t>
      </w:r>
    </w:p>
    <w:p>
      <w:pPr/>
      <w:r>
        <w:rPr/>
        <w:t xml:space="preserve">Student posiada wiedzę odnośnie podstaw techniki laboratoryjnych pomiarów 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2026-09-28T02:44:09+02:00</dcterms:created>
  <dcterms:modified xsi:type="dcterms:W3CDTF">2026-09-28T02:44:09+02:00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