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Fakultatywne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8 godz.  laboratorium.
2) Praca własna studenta– 17 godzin, w tym:
a)	 7 godz. – bieżące przygotowywanie się studenta do ćwiczeń laboratoryjnych, 
b)	10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  punktów ECTS – 8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a)	wstępne zapoznanie studentów z budową i zastosowaniem wybranych maszyn do obróbki skrawaniem (tokarka kłowa, frezarka wspornikowa, szlifierki do wałków i płaszczyzn, wiertarki stołowe i stojakowe, tokarka i frezarka sterowana numerycznie)
b)	pokazanie możliwości obróbczych obrabiarek konwencjonalnych (prezentacja przez wykwalifikowanego specjalistę operacji wykonania wałka: toczenia czoła w uchwycie trójszczękowym lub/i w podtrzymce, wykonania nakiełków nawiertakami, toczenie wzdłużne, wykonanie faz oraz podcięć technologicznych na tokarce kłowej  oraz operacji frezowania płaszczyzn na frezarce wspornikowej poziomej metodą współbieżną i przeciwbieżną), sposobów mocowania narzędzia i przedmiotu oraz typowych stosowanych przyrządów i uchwytów (uchwyt tokarski trójszczękowy, uchwyt wiertarski trójszczękowy, imadło maszynowe, tuleje zaciskowe, trzpienie frezarskie długie i krótkie, podtrzymki stałe i ruchome)
c)	uwypuklenie różnic między obrabiarkami konwencjonalnymi a sterowanymi numerycznie CNC (pokaz obróbki na tokarce kłowej CNC z wirującymi narzędziami i/lub frezowanie na frezarce CNC)
d)	unaocznienie wymaganych dokładności obróbki skrawaniem (m.in. przez skrawanie z głębokościami ok. 0.02-0.05 mm i pokazanie uzyskiwanego podczas tej obróbki wióra)
e)	zapoznanie z wybranymi procesami obróbki plastycznej przez wykrawanie krążków, gięcie płaskowników i ciągnienia wytłoczek cylindrycznych na prasie hydraulicznej 
f)	zapoznanie z podstawową nomenklaturą techniczną i stosowaną na warsztacie gwarą techniczną;
g)	wstępne zapoznanie studentów z budową samochodu: nadwozia, podwozia, silników oraz układu napędowego, hamulcowego i kierowniczego (m.in. pokaz pracy silnika na stanowisku badawczym);
h)	wstępne zapoznanie z wybranymi rodzajami maszyn roboczych: ich budową, działaniem i zastosowaniem oraz ich sterowaniem w warunkach poligonowych
i)	wstępne zapoznanie z wybranymi rodzajami urządzeń transportu bliskiego: ich budową, działaniem i zastosowaniem oraz ich sterowaniem w warunkach poligonowych
     Dodatkowym celem przedmiotu jest zapoznanie studentów z profilem wydziału i bazą laboratoryjną, przygotowanie do zajęć na dalszych latach studiów oraz adaptacja do pracy w warunkach warsztatowych i poligonowych.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 
4.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1150-MB000-IZP-0108_W06: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1150-MB000-IZP-0108_W07: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T1A_U02, T1A_U07,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KMiBM_U10,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T1A_U08, T1A_U09, T1A_U15, InzA_U01, InzA_U02, T1A_U05</w:t>
      </w:r>
    </w:p>
    <w:p>
      <w:pPr>
        <w:keepNext w:val="1"/>
        <w:spacing w:after="10"/>
      </w:pPr>
      <w:r>
        <w:rPr>
          <w:b/>
          <w:bCs/>
        </w:rPr>
        <w:t xml:space="preserve">Efekt 1150-MB000-IZP-0108_U04: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T1A_U05</w:t>
      </w:r>
    </w:p>
    <w:p>
      <w:pPr>
        <w:keepNext w:val="1"/>
        <w:spacing w:after="10"/>
      </w:pPr>
      <w:r>
        <w:rPr>
          <w:b/>
          <w:bCs/>
        </w:rPr>
        <w:t xml:space="preserve">Efekt 1150-MB000-IZP-0108_U05: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KMiBM_U15, KMiBM_U17,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T1A_U11, T1A_U12, InzA_U06, InzA_U08, T1A_U08, T1A_U09, T1A_U15, T1A_U05</w:t>
      </w:r>
    </w:p>
    <w:p>
      <w:pPr>
        <w:keepNext w:val="1"/>
        <w:spacing w:after="10"/>
      </w:pPr>
      <w:r>
        <w:rPr>
          <w:b/>
          <w:bCs/>
        </w:rPr>
        <w:t xml:space="preserve">Efekt 1150-MB000-IZP-0108_U06: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T1A_U05</w:t>
      </w:r>
    </w:p>
    <w:p>
      <w:pPr>
        <w:keepNext w:val="1"/>
        <w:spacing w:after="10"/>
      </w:pPr>
      <w:r>
        <w:rPr>
          <w:b/>
          <w:bCs/>
        </w:rPr>
        <w:t xml:space="preserve">Efekt 1150-MB000-IZP-0108_U07: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T1A_U05</w:t>
      </w:r>
    </w:p>
    <w:p>
      <w:pPr>
        <w:keepNext w:val="1"/>
        <w:spacing w:after="10"/>
      </w:pPr>
      <w:r>
        <w:rPr>
          <w:b/>
          <w:bCs/>
        </w:rPr>
        <w:t xml:space="preserve">Efekt 1150-MB000-ISP-0108_U08: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1150-MB000-ISP-0108_U09: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2025-07-05T17:42:28+02:00</dcterms:created>
  <dcterms:modified xsi:type="dcterms:W3CDTF">2025-07-05T17:42:28+02:00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