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MiBM2_U01, MiBM2_U05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MBiM2_K01, MBiM2_K03</w:t>
      </w:r>
    </w:p>
    <w:p>
      <w:pPr>
        <w:spacing w:before="20" w:after="190"/>
      </w:pPr>
      <w:r>
        <w:rPr>
          <w:b/>
          <w:bCs/>
        </w:rPr>
        <w:t xml:space="preserve">Powiązane efekty obszarowe: </w:t>
      </w:r>
      <w:r>
        <w:rPr/>
        <w:t xml:space="preserve">T2A_K01, T2A_K03</w:t>
      </w:r>
    </w:p>
    <w:p>
      <w:pPr>
        <w:keepNext w:val="1"/>
        <w:spacing w:after="10"/>
      </w:pPr>
      <w:r>
        <w:rPr>
          <w:b/>
          <w:bCs/>
        </w:rPr>
        <w:t xml:space="preserve">Efekt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MBiM2_K02, MBiM2_K07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2026-09-27T15:50:47+02:00</dcterms:created>
  <dcterms:modified xsi:type="dcterms:W3CDTF">2026-09-27T15:50:47+02:00</dcterms:modified>
</cp:coreProperties>
</file>

<file path=docProps/custom.xml><?xml version="1.0" encoding="utf-8"?>
<Properties xmlns="http://schemas.openxmlformats.org/officeDocument/2006/custom-properties" xmlns:vt="http://schemas.openxmlformats.org/officeDocument/2006/docPropsVTypes"/>
</file>