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- 17 godzin, w tym:
a)  laboratorium - 15 godz.,
b) konsultacje - 2 godz.
2. Praca własna studenta - 15 godzin, w tym:
a) nauka do kolokwium: 10 godz.,
b) przygotowanie raportu: 5 godz.
Razem - 32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bezpośrednich - 17 godzin, w tym:
a)  laboratorium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dynamika rozwoju i tłumienia wybuchów; wizualizacja i rejestracja procesów spalania; toksyczne własności produktów spalania; dynamika rozwoju i tłumienia wybuchów; metody przeciwpożarowe i przeciwwybuchowe.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Jarosiński „Techniki Czystego Spalania” WNT 1996.
2. W. Kordylewski „Spalanie i Paliwa” Wydawnictwa Politechniki Wrocławskiej 2001.
3. R. Wilk „Podstawy niskoemisyjnego spalania” Wydawnictwo Gnome, Katowice 2000.
4. A. Kowalewicz „Podstawy Procesów Spalania”, WNT 2000; Rudolf Klemens.
5. A. Teodorczyk „Spalanie” – preskrypt dla studiów zaocznych „Inżynieria Bezpieczeństwa”, Politechnika Warszawska, Wydział MEiL, 2003.
6. D. Ratajczak, R. Klemens „Ochrona przeciwpożarowa i przeciwwybuchowa” – preskrypt dla Studium Podyplomowego „Bezpieczeństwo i Higiena Pracy”, Politechnika Warszawska, Wydział MEiL, 2005.
Dodatkowa literatura: 
- Broszury, instrukcje i opisy stanowisk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ML.NS616_W1: </w:t>
      </w:r>
    </w:p>
    <w:p>
      <w:pPr/>
      <w:r>
        <w:rPr/>
        <w:t xml:space="preserve">							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ML.NS616_W2: </w:t>
      </w:r>
    </w:p>
    <w:p>
      <w:pPr/>
      <w:r>
        <w:rPr/>
        <w:t xml:space="preserve">							Student zna zasady i sposoby prowadzenia badań podstawowych w dziedzinie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ML.NS616_W3: </w:t>
      </w:r>
    </w:p>
    <w:p>
      <w:pPr/>
      <w:r>
        <w:rPr/>
        <w:t xml:space="preserve">							Student zna podstawowe metody obserwacji, pomiarowe i rejestracji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p>
      <w:pPr>
        <w:keepNext w:val="1"/>
        <w:spacing w:after="10"/>
      </w:pPr>
      <w:r>
        <w:rPr>
          <w:b/>
          <w:bCs/>
        </w:rPr>
        <w:t xml:space="preserve">Efekt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2026-04-09T16:27:55+02:00</dcterms:created>
  <dcterms:modified xsi:type="dcterms:W3CDTF">2026-04-09T16:27:55+02:00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