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32, w tym:
a) wykład - 30 godz.,
b) konsultacje - 2 godz.
2) Praca własna - 28 godz., w tym:
a) przygotowanie do kolokwium -  16 godz.
b) przygotowanie opracowania własnego - 12 godz.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3 punktu ETCS - liczba godzin bezpośrednich: 32, w tym:
a) wykład - 30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dobory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keepNext w:val="1"/>
        <w:spacing w:after="10"/>
      </w:pPr>
      <w:r>
        <w:rPr>
          <w:b/>
          <w:bCs/>
        </w:rPr>
        <w:t xml:space="preserve">Efekt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LiK1_W02, LiK1_W04</w:t>
      </w:r>
    </w:p>
    <w:p>
      <w:pPr>
        <w:spacing w:before="20" w:after="190"/>
      </w:pPr>
      <w:r>
        <w:rPr>
          <w:b/>
          <w:bCs/>
        </w:rPr>
        <w:t xml:space="preserve">Powiązane efekty obszarowe: </w:t>
      </w:r>
      <w:r>
        <w:rPr/>
        <w:t xml:space="preserve">T1A_W01, T1A_W07, T1A_W01, T1A_W06, T1A_W07</w:t>
      </w:r>
    </w:p>
    <w:p>
      <w:pPr>
        <w:pStyle w:val="Heading3"/>
      </w:pPr>
      <w:bookmarkStart w:id="3" w:name="_Toc3"/>
      <w:r>
        <w:t>Profil ogólnoakademicki - umiejętności</w:t>
      </w:r>
      <w:bookmarkEnd w:id="3"/>
    </w:p>
    <w:p>
      <w:pPr>
        <w:keepNext w:val="1"/>
        <w:spacing w:after="10"/>
      </w:pPr>
      <w:r>
        <w:rPr>
          <w:b/>
          <w:bCs/>
        </w:rPr>
        <w:t xml:space="preserve">Efekt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LiK1_U17, LiK1_U19</w:t>
      </w:r>
    </w:p>
    <w:p>
      <w:pPr>
        <w:spacing w:before="20" w:after="190"/>
      </w:pPr>
      <w:r>
        <w:rPr>
          <w:b/>
          <w:bCs/>
        </w:rPr>
        <w:t xml:space="preserve">Powiązane efekty obszarowe: </w:t>
      </w:r>
      <w:r>
        <w:rPr/>
        <w:t xml:space="preserve">T1A_U01, T1A_U13, T1A_U14</w:t>
      </w:r>
    </w:p>
    <w:p>
      <w:pPr>
        <w:keepNext w:val="1"/>
        <w:spacing w:after="10"/>
      </w:pPr>
      <w:r>
        <w:rPr>
          <w:b/>
          <w:bCs/>
        </w:rPr>
        <w:t xml:space="preserve">Efekt ML.NW107_U2: </w:t>
      </w:r>
    </w:p>
    <w:p>
      <w:pPr/>
      <w:r>
        <w:rPr/>
        <w:t xml:space="preserve">							Umie korzystać z baz materiałowych i metodyki doboru materiału.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LiK1_U01, LiK1_U19</w:t>
      </w:r>
    </w:p>
    <w:p>
      <w:pPr>
        <w:spacing w:before="20" w:after="190"/>
      </w:pPr>
      <w:r>
        <w:rPr>
          <w:b/>
          <w:bCs/>
        </w:rPr>
        <w:t xml:space="preserve">Powiązane efekty obszarowe: </w:t>
      </w:r>
      <w:r>
        <w:rPr/>
        <w:t xml:space="preserve">T1A_U01, T1A_U14</w:t>
      </w:r>
    </w:p>
    <w:p>
      <w:pPr>
        <w:keepNext w:val="1"/>
        <w:spacing w:after="10"/>
      </w:pPr>
      <w:r>
        <w:rPr>
          <w:b/>
          <w:bCs/>
        </w:rPr>
        <w:t xml:space="preserve">Efekt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LiK1_U19</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2026-09-28T14:57:03+02:00</dcterms:created>
  <dcterms:modified xsi:type="dcterms:W3CDTF">2026-09-28T14:57:03+02:00</dcterms:modified>
</cp:coreProperties>
</file>

<file path=docProps/custom.xml><?xml version="1.0" encoding="utf-8"?>
<Properties xmlns="http://schemas.openxmlformats.org/officeDocument/2006/custom-properties" xmlns:vt="http://schemas.openxmlformats.org/officeDocument/2006/docPropsVTypes"/>
</file>