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 , w tym:
a) wykłady - 30 godz.,
b) ćwiczenia - 30 godz.,
c) konsultacje - 10 godz.
2. Praca własna studenta – 55 godzin, w tym:
a) 10 godz. - przygotowywanie się studenta do ćwiczeń,
b) 15 godz - zadania domowe (wykonanie projektu),
c) 15 godz - przygotowanie się do kolokwiów,
d) 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 liczba godzin kontaktowych: 70, w tym:
a) wykłady - 30 godz.,
b) ćwiczenia – 30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 Zaliczenie ćwiczeń wpływa na ocenę po egzaminie. Studenci posiadający bardzo dobre wyniki w semestrze mogą być zwolnieni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														Student wie jak rozwiązywać proste problemy z zakresu mechaniki niutonowskiej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														Student wie jak wykorzystać rachunek różniczkowy i całkowy w zagadnieniach kinematyki i dynamiki.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														Student zna zakres stosowalności kinematyki i dynamiki niutonowskiej. Zna paradygmat tej dyscypliny.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ML.NW115_K1: </w:t>
      </w:r>
    </w:p>
    <w:p>
      <w:pPr/>
      <w:r>
        <w:rPr/>
        <w:t xml:space="preserve">														Student umie komunikować się w zakresie dotyczącym kinematyki i dynamiki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2026-10-02T15:02:20+02:00</dcterms:created>
  <dcterms:modified xsi:type="dcterms:W3CDTF">2026-10-02T15:02:20+02:00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