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udział w wykładach - 15 godz.,
b) udział w ćwiczeniach - 15 godz.,
c) udział w konsultacjach - 3 godz.
2) Praca własna studenta - 45 godz. w tym:
a) bieżące przygotowywanie się do zajęć, studia literaturowe - 12 godz.,
b) przygotowywanie się do sprawdzianu/ów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ćwiczeniach - 15 godz.,
c)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zostaną przedstawione przez prowadzącego w ramach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ML.NK443_W2: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ML.NK443_W3: </w:t>
      </w:r>
    </w:p>
    <w:p>
      <w:pPr/>
      <w:r>
        <w:rPr/>
        <w:t xml:space="preserve">Zna najważniejsze uwarunkowania prawne i regulacyjne sektora.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E1_U14,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T1A_U12</w:t>
      </w:r>
    </w:p>
    <w:p>
      <w:pPr>
        <w:keepNext w:val="1"/>
        <w:spacing w:after="10"/>
      </w:pPr>
      <w:r>
        <w:rPr>
          <w:b/>
          <w:bCs/>
        </w:rPr>
        <w:t xml:space="preserve">Efekt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E1_U08, E1_U15,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T1A_U07, T1A_U11,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E1_U14, E1_U16,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T1A_U10, T1A_U12,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2026-10-19T15:29:49+02:00</dcterms:created>
  <dcterms:modified xsi:type="dcterms:W3CDTF">2026-10-19T15:29:49+02:00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