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ML.NS540_W1: </w:t>
      </w:r>
    </w:p>
    <w:p>
      <w:pPr/>
      <w:r>
        <w:rPr/>
        <w:t xml:space="preserve">Zna zasady wymiarowania pomp ciepła i dobór źródeł ciepła.</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Zna zasady wymiarowania pomp ciepła i dobór źródeł ciepła.</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Zna zasady wymiarowania pomp ciepła i dobór źródeł ciepła.</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E1_W24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E1_W24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Posiada umiejętność stworzenia koncepcji technicznej systemów grzewczych z pompą ciepła skojarzoną z analizą ekonomiczną.</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Potrafi przeprowadzić analizę techniczną i ekonomiczną możliwości współpracy systemów grzewczych mono i biwalentnych z pompą ciepła przy wykorzystaniu innych odnawialnych  i konwencjonalnych urządzeń/ źródeł ciepła.</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2026-10-18T15:49:41+02:00</dcterms:created>
  <dcterms:modified xsi:type="dcterms:W3CDTF">2026-10-18T15:49:41+02:00</dcterms:modified>
</cp:coreProperties>
</file>

<file path=docProps/custom.xml><?xml version="1.0" encoding="utf-8"?>
<Properties xmlns="http://schemas.openxmlformats.org/officeDocument/2006/custom-properties" xmlns:vt="http://schemas.openxmlformats.org/officeDocument/2006/docPropsVTypes"/>
</file>