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ZPK18</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przegląd literatury-6h, przygotowanie do ćwiczeń-6h, przygotowanie do egzaminu-12h, opracowanie projektu przedsięwzięcia biznesowego – 19h.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 4 h, konsultacje – 15 h oraz zaliczenia i egzaminy w dodatkowych terminach - 2 h)	0,84
Łącznie	2,12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keepNext w:val="1"/>
        <w:spacing w:after="10"/>
      </w:pPr>
      <w:r>
        <w:rPr>
          <w:b/>
          <w:bCs/>
        </w:rPr>
        <w:t xml:space="preserve">Efekt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S1P_W06, S1P_W07</w:t>
      </w:r>
    </w:p>
    <w:p>
      <w:pPr>
        <w:keepNext w:val="1"/>
        <w:spacing w:after="10"/>
      </w:pPr>
      <w:r>
        <w:rPr>
          <w:b/>
          <w:bCs/>
        </w:rPr>
        <w:t xml:space="preserve">Efekt K_W16: </w:t>
      </w:r>
    </w:p>
    <w:p>
      <w:pPr/>
      <w:r>
        <w:rPr/>
        <w:t xml:space="preserve">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K_U15: </w:t>
      </w:r>
    </w:p>
    <w:p>
      <w:pPr/>
      <w:r>
        <w:rPr/>
        <w:t xml:space="preserve">Potrafi dokonać oceny sytuacji ekonomiczno- możliwe źródła finansowania przedsięwzięcia gospodarczego. finansowej w tworzonym biznesplanie i wskazać na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efekty kierunkowe: </w:t>
      </w:r>
      <w:r>
        <w:rPr/>
        <w:t xml:space="preserve">K_KO5</w:t>
      </w:r>
    </w:p>
    <w:p>
      <w:pPr>
        <w:spacing w:before="20" w:after="190"/>
      </w:pPr>
      <w:r>
        <w:rPr>
          <w:b/>
          <w:bCs/>
        </w:rPr>
        <w:t xml:space="preserve">Powiązane efekty obszarowe: </w:t>
      </w:r>
      <w:r>
        <w:rPr/>
        <w:t xml:space="preserve">S1P_K05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2026-10-19T14:22:11+02:00</dcterms:created>
  <dcterms:modified xsi:type="dcterms:W3CDTF">2026-10-19T14:22:11+02:00</dcterms:modified>
</cp:coreProperties>
</file>

<file path=docProps/custom.xml><?xml version="1.0" encoding="utf-8"?>
<Properties xmlns="http://schemas.openxmlformats.org/officeDocument/2006/custom-properties" xmlns:vt="http://schemas.openxmlformats.org/officeDocument/2006/docPropsVTypes"/>
</file>