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8h
Praca własna:20h- przegląd literatury, 22h-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0.32
Inne formy kontaktu bezpośredniego ( egzaminy, konsultacje oraz zaliczenia i egzaminy w dodatkowych terminach)	0,36
Łącznie	0,68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Wdrożenie i kontrola strategii – przygotowanie przedsiębiorstwa do zmian</w:t>
      </w:r>
    </w:p>
    <w:p>
      <w:pPr>
        <w:keepNext w:val="1"/>
        <w:spacing w:after="10"/>
      </w:pPr>
      <w:r>
        <w:rPr>
          <w:b/>
          <w:bCs/>
        </w:rPr>
        <w:t xml:space="preserve">Metody oceny: </w:t>
      </w:r>
    </w:p>
    <w:p>
      <w:pPr>
        <w:spacing w:before="20" w:after="190"/>
      </w:pPr>
      <w:r>
        <w:rPr/>
        <w:t xml:space="preserve">test zaliczeniowy:
5 pytań zamkniętych i 1 pytanie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2026-10-19T14:02:31+02:00</dcterms:created>
  <dcterms:modified xsi:type="dcterms:W3CDTF">2026-10-19T14:02:31+02:00</dcterms:modified>
</cp:coreProperties>
</file>

<file path=docProps/custom.xml><?xml version="1.0" encoding="utf-8"?>
<Properties xmlns="http://schemas.openxmlformats.org/officeDocument/2006/custom-properties" xmlns:vt="http://schemas.openxmlformats.org/officeDocument/2006/docPropsVTypes"/>
</file>