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  – 30 godz.,
b)	konsultacje – 10 godz.
2.	Praca własna studenta – 35 godzin, w tym:
a)	20 godz. – bieżąca analiza zalecanej literatury – przygotowanie się do wykładów,
b)	15  godz. – przygotowywanie się do egzaminu.
Razem –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  – 30 godz.
b)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2). Znajomość rachunku różniczkowego i całkowego. 
3). Podstawy fizyki w zakresie:
a) mechaniki newtonowskiej,
b) fal,
c) termodynamiki,
d) elektryczności i magnetyzmu,
e) optyki,
f)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
15.Nanostruktury. Urządzenia nanowymiarowe.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Posiada umiejętność krytycznej analizy eksperymentów fizycznych z zakresu fizyki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MiBM1_U08</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Posiada umiejętność krytycznej analizy eksperymentów fizycznych z zakresu fizyki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							Potrafi samodzielnie poszerzać wiedzę o zagadnieniach fizyki współczesnej i technologii w oparciu o studium literaturowe i samodzielnie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MiBM1_K07</w:t>
      </w:r>
    </w:p>
    <w:p>
      <w:pPr>
        <w:spacing w:before="20" w:after="190"/>
      </w:pPr>
      <w:r>
        <w:rPr>
          <w:b/>
          <w:bCs/>
        </w:rPr>
        <w:t xml:space="preserve">Powiązane charakterystyki obszarowe: </w:t>
      </w:r>
      <w:r>
        <w:rPr/>
        <w:t xml:space="preserve"/>
      </w:r>
    </w:p>
    <w:p>
      <w:pPr>
        <w:keepNext w:val="1"/>
        <w:spacing w:after="10"/>
      </w:pPr>
      <w:r>
        <w:rPr>
          <w:b/>
          <w:bCs/>
        </w:rPr>
        <w:t xml:space="preserve">Charakterystyka 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2026-09-28T04:27:49+02:00</dcterms:created>
  <dcterms:modified xsi:type="dcterms:W3CDTF">2026-09-28T04:27:49+02:00</dcterms:modified>
</cp:coreProperties>
</file>

<file path=docProps/custom.xml><?xml version="1.0" encoding="utf-8"?>
<Properties xmlns="http://schemas.openxmlformats.org/officeDocument/2006/custom-properties" xmlns:vt="http://schemas.openxmlformats.org/officeDocument/2006/docPropsVTypes"/>
</file>