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1050-FTFME-MSP-2TM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 </w:t>
      </w:r>
    </w:p>
    <w:p>
      <w:pPr>
        <w:keepNext w:val="1"/>
        <w:spacing w:after="10"/>
      </w:pPr>
      <w:r>
        <w:rPr>
          <w:b/>
          <w:bCs/>
        </w:rPr>
        <w:t xml:space="preserve">Treści kształcenia: </w:t>
      </w:r>
    </w:p>
    <w:p>
      <w:pPr>
        <w:spacing w:before="20" w:after="190"/>
      </w:pPr>
      <w:r>
        <w:rPr/>
        <w:t xml:space="preserve">Treść wykładu
    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
    Zakres laboratorium
        Statystyka pomiarów scyntygraficznych
        Budowa i zasada działania gammakamery
        Akwizycja obrazów gammakamerowych
        Analiza wybranych badań czynnościowych
        Algorytmy rekonstrukcji obrazów dla tomografii SPECT
        Analiza tomograficznych obrazów multimodalnych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2026-10-18T16:49:49+02:00</dcterms:created>
  <dcterms:modified xsi:type="dcterms:W3CDTF">2026-10-18T16:49:49+02:00</dcterms:modified>
</cp:coreProperties>
</file>

<file path=docProps/custom.xml><?xml version="1.0" encoding="utf-8"?>
<Properties xmlns="http://schemas.openxmlformats.org/officeDocument/2006/custom-properties" xmlns:vt="http://schemas.openxmlformats.org/officeDocument/2006/docPropsVTypes"/>
</file>