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Trendy konsumenckie w gospodarce cyfrowej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Czerwiński Bogumił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15h wykład + 15h ćwiczenia + 2h konsultacje + 5h zadanie ćwiczeniowe + 5h przygotowanie teoretyczne do ćwiczeń +  8h przygotowanie do kolokwium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 
15h wykład + 15h ćwiczenia + 2h konsultacje = 32h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ECTS 
15h ćwiczenia + 2h konsultacje + 5h zadanie ćwiczeniowe + 5h przygotowanie teoretyczne do ćwiczeń +  8h przygotowanie do kolokwium = 35h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marketingu, Podstawy informatyki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 posiadał podstawową wiedzę z zakresu identyfikowania trendów i wykorzystywania wiedzy w tym zakresie w praktycznym funkcjonowaniu podmiotów rynkowych  działających w gospodarce cyfrowej.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Istota modeli biznesowych gospodarki cyfrowej. 
2.	Wpływ wirtualizacji działalności gospodarczej na rozwój modeli biznesowych gospodarki cyfrowej. 
3.	Wpływ nowych technologii informacyjnych na relacje konsument – usługodawca.
4.	Zmiany na rynku globalnym wynikające z rozwoju modeli biznesu gospodarki cyfrowej. 
5.	Innowacyjność jako czynnik rozwoju modeli biznesowych gospodarki cyfrowej. 
6.	Relacje między podmiotami rynku elektronicznego. 
7.	Modele biznesowe gospodarki cyfrowej na rynku B2C. 
8.	Charakterystyka e-usług
9.	Budowa i realizacja strategii przedsiębiorstwa na rynku elektronicznym.
10.	Ochrona konsumenta na rynku e-usług
B. Ćwiczenia: 
1.	Wpływ nowych technologii informacyjnych na relacje konsument – usługodawca.
2.	Innowacyjność jako czynnik rozwoju modeli biznesowych gospodarki cyfrowej. 
3.	Relacje między podmiotami rynku elektronicznego. 
4.	Modele biznesowe gospodarki cyfrowej na rynku B2C. 
5.	Charakterystyka e-usług
6.	Budowa i realizacja strategii przedsiębiorstwa na rynku elektronicznym.
7.	Ochrona konsumenta na rynku e-usług.
8.	Prezentacja trendów konsumenckich na przykładzie wybranej branży
9.	Wykorzystanie trendów konsumenckich w gospodarce cyfrowej w działalności wybranego podmiotu. 
10.	Projektowanie działań marketingowych w gospodarce cyfrowej na podstawie wybranego podmiotu.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1.Ocena formatywna: ocena zaangażowania studentów w dyskusję podczas wykładów.
2.Ocena sumatywna: przeprowadzenie zaliczenia pisemnego, do zaliczenia wykładu wymagane jest uzyskanie oceny &gt;=3.
B. Ćwiczenia: 
1. Ocena formatywna: ocena poprawności realizowanego przez studentów projektu, ocena podejścia studentów do przedmiotu w trakcie zajęć
2. Ocena sumatywna: oceniany jest projekt dotyczący analizy trendów w gospodarce cyfrowej. Ocena zawiera się w zakresie 2-5; do zaliczenia wymagane jest uzyskanie oceny &gt;=3.
E. Końcowa ocena z przedmiotu:
Przedmiot uznaje się za zaliczony jeśli zarówno ocena z ćwiczeń jak i z zaliczenia pisemnego &gt;=3; ocena z przedmiotu jest obliczana zgodnie z formułą: 0,6 * ocena z zaliczenia + 0,4 * ocena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Borcuch A. 2010. Cyfrowe społeczeństwo w elektronicznej gospodarce. Warszawa: Wydawnictwo CeDeWu. 
2.	Mazurek G., 2019. Transformacja cyfrowa perspektywa marketingu. Warszawa: Wydawnictwo: Wydawnictwo Naukowe PWN.
3.	 Szopiński T., 2012. E-konsument na rynku usług. Warszawa: Wydawnictwo CeDeWu.
Uzupełniająca:
1.	Gonciarski W. (red.), 2010. Zarządzanie w warunkach gospodarki cyfrowej. Warszawa: Wojskowa Akademia Techniczna.
2.	 Szpringer W., 2012. Innowacyjne modele e-biznesu. Aspekty instytucjonalne. Warszawa: Wydawnictwo Difin.
3.	 Żurak-Owczarek C., 2013. E-biznes w wymiarze globalnym i lokalnym. Łódź: Wydawnictwo Uniwersytetu Łódzkiego.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I1_W02: </w:t>
      </w:r>
    </w:p>
    <w:p>
      <w:pPr/>
      <w:r>
        <w:rPr/>
        <w:t xml:space="preserve">Absolwent zna   teorie oraz ogólną metodologię badań w zakresie inżynierii produkcji, ze szczególnym uwzględnieniem zastosowań technologii produkcyjnych.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Absolwent zna   teorie oraz ogólną metodologię badań w zakresie zastosowań narzędzi informatycznych w zarządzaniu i produkcji, ze szczególnym uwzględnieniem działań podejmowanych w środowisku intra i internetowym.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składowych jednostek zajęciowych.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I1_U07: </w:t>
      </w:r>
    </w:p>
    <w:p>
      <w:pPr/>
      <w:r>
        <w:rPr/>
        <w:t xml:space="preserve">Absolwent potrafi  analizować i prognozować procesy i zjawiska społeczne z wykorzystaniem standardowych metod i narzędzi wykorzystywanych w inżynierii produkcji, w tym również narzędzi IT.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składowych jednostek zajęciowych, realizacja projektu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I1_U13: </w:t>
      </w:r>
    </w:p>
    <w:p>
      <w:pPr/>
      <w:r>
        <w:rPr/>
        <w:t xml:space="preserve">Absolwent potrafi  przy identyfikacji i formułowaniu specyfikacji zadań oraz ich rozwiązywaniu: dobierać i wykorzystywać właściwe metody i narzędzia wspomagające oraz dokonywać oceny opłacalności ekonomicznej wdrożenia tych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  uznawania znaczenia wiedzy w rozwiązywaniu problemów poznawczych i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składowych jednostek zajęciowych, realizacja projektu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2026-10-19T18:12:10+02:00</dcterms:created>
  <dcterms:modified xsi:type="dcterms:W3CDTF">2026-10-19T18:12:10+02:00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