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 ochrony prawnej w Unii Europejskiej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Robert Zajdler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A21_SOPUE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Ogółem 75h
Uczestnictwo w wykładach 30h
praca własna studenta 45h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 uwagi na uwarunkowania regulacyjne, biegła znajomość języka angielskiego pozwala na lepsze zrozumienie poruszanych zagadnień.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Przedmiotem zajęć jest system instytucjonalny i prawo materialne Unii Europejskiej. Zakres rzeczowy obejmuje strukturę i mechanizm funkcjonowania systemu prawnego UE. Wykład oparty jest o najnowszą literaturę przedmiotu i uwzględnia aktualny stan prawny i faktyczny oraz orzecznictwo Trybunału Sprawiedliwości Unii Europejskiej.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obejmuje:
1.	Wprowadzenie do prawa Unii Europejskiej;
2.	Rozwój procesów integracyjnych;
3.	Zasady prawa UE;
4.	Instytucje Unii Europejskiej;
5.	Podział kompetencji w prawie Unii Europejskiej;
6.	Źródła prawa Unii Europejskiej;
7.	Tworzenie prawa Unii Europejskiej;
8.	Trybunał Sprawiedliwości UE, miejsce w systemie, typy skarg;
9.	Stosowanie prawa Unii Europejskiej w porządkach państw członkowskich;
10.	Przestrzeń wolności, bezpieczeństwa i sprawiedliwości;
11.	Wspólna polityka zagraniczna i bezpieczeństwa UE;
12.	Pojęcie rynku wewnętrznego i swobody rynku wewnętrznego;
13.	Politykę konkurencji;
14.	Polityka ochrony środowiska
15.	Polityka w zakresie sieci transeuropejskich;
16.	Polityka transportowa;
Wykład oparty jest o najnowszą literaturę przedmiotu i uwzględnia aktualny stan prawny i faktyczny oraz orzecznictwo Trybunału Sprawiedliwości Unii Europejskiej.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Zajęcia kończą się egzaminem złożonym z pytań opisowych i testowych. Dodatkowo w toku zajęć student zobowiązany jest do udziału w ocenianych pracach zespołowych.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Zawidzka-Łojek, A. Łazowski (red.), Podręcznik prawa Unii Europejskiej, wyd. II, Warszawa 2018
A. Łazowski, A. Zawidzka-Łojek (red.), Instytucje i porządek prawny Unii Europejskiej, wyd. II, Warszawa 2015
M. M. Kenig-Witkowska (red.), A. Łazowski, R. Ostrihansky, Prawo instytucjonalne Unii Europejskiej, wyd. VII, Warszawa 2017
J. Barcz, M. Górka, A. Wyrozumska: Instytucje i Prawo Unii Europejskiej, Warszawa 2012, 
J. Barcz (red.), Źródła prawa Unii Europejskiej, Warszawa 2010;
I.Skomerska-Muchowska, A.Wyrozumska, Obywatel Unii, [w:] Ustrój Unii Europejskiej, pod red. J. Barcza, Warszawa 2010;
J.Barcz (red.), Zasady ustrojowe Unii Europejskiej, Warszawa 2010;
M. Zdanowicz (red.), Wybór orzeczeń Trybunału Sprawiedliwości Wspólnot Europejskich, Białystok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www.ans.pw.edu.pl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 uwagi na uwarunkowania regulacyjne, biegła znajomość języka angielskiego pozwala na lepsze zrozumienie poruszanych zagadnień.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podstawową terminologię w zakresie prawa unijnego i systemu ochrony prawnej w UE.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II.X.P7S_WG.1.o, II.S.P7S_WG.1, II.S.P7S_WG.2, II.H.P7S_WG.1.o, II.H.P7S_WG.2, I.P7S_WG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wiedzę w zakresie struktury i kompetencji unijnych organów sądowych.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II.X.P7S_WG.1.o, II.S.P7S_WG.1, II.S.P7S_WG.2, II.H.P7S_WG.1.o, II.H.P7S_WG.2, I.P7S_WG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Ma wiedzę na temat postępowania przed Trybunałem Sprawiedliwości Unii Europejskiej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II.X.P7S_WG.1.o, II.S.P7S_WG.1, II.S.P7S_WG.2, II.H.P7S_WG.1.o, II.H.P7S_WG.2, 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Ma wiedzę na temat podstawowych rodzajów skarg kierowanych do Trybunału Sprawiedliwości Unii Europejskiej.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II.X.P7S_WG.1.o, II.S.P7S_WG.1, II.S.P7S_WG.2, II.H.P7S_WG.1.o, II.H.P7S_WG.2, I.P7S_WG</w:t>
      </w:r>
    </w:p>
    <w:p>
      <w:pPr>
        <w:keepNext w:val="1"/>
        <w:spacing w:after="10"/>
      </w:pPr>
      <w:r>
        <w:rPr>
          <w:b/>
          <w:bCs/>
        </w:rPr>
        <w:t xml:space="preserve">Charakterystyka W_05: </w:t>
      </w:r>
    </w:p>
    <w:p>
      <w:pPr/>
      <w:r>
        <w:rPr/>
        <w:t xml:space="preserve">Ma wiedzę na temat relacji: sąd krajowy - sąd unijny, w kontekście procedury orzeczenia wstępnego (pytania prejudycjalnego).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II.H.P7S_WG.2, I.P7S_WG, II.X.P7S_WG.1.o, II.S.P7S_WG.1, I.P7S_WK, II.S.P7S_WG.2, II.H.P7S_WG.1.o</w:t>
      </w:r>
    </w:p>
    <w:p>
      <w:pPr>
        <w:keepNext w:val="1"/>
        <w:spacing w:after="10"/>
      </w:pPr>
      <w:r>
        <w:rPr>
          <w:b/>
          <w:bCs/>
        </w:rPr>
        <w:t xml:space="preserve">Charakterystyka W_06: </w:t>
      </w:r>
    </w:p>
    <w:p>
      <w:pPr/>
      <w:r>
        <w:rPr/>
        <w:t xml:space="preserve">Ma wiedzę w zakresie pozasądowego systemu ochrony prawnej w UE.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II.X.P7S_WG.1.o, II.S.P7S_WG.1, II.S.P7S_WG.2, II.H.P7S_WG.1.o, II.H.P7S_WG.2, 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posługiwać się podstawową terminologią z zakresu systemu ochrony prawnej Unii Europejskiej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K_U06,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II.S.P7S_UW.1, II.S.P7S_UW.2.o, II.S.P7S_UW.3.o, II.H.P7S_UW.1, II.H.P7S_UW.2.o, I.P7S_UW, I.P7S_UK, II.X.P7S_UW.3.o, II.X.P7S_UW.2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wyszukiwać w zbiorach źródeł prawa unijnego (aktów prawnych i orzeczeń sądów unijnych) dokumentów potrzebnych do prawnej oceny danego stanu faktycznego.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K_U04,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II.X.P7S_UW.3.o, II.S.P7S_UW.1, II.S.P7S_UW.2.o, II.S.P7S_UW.3.o, II.H.P7S_UW.1, I.P7S_UW, II.X.P7S_UW.2, II.H.P7S_UW.2.o, I.P7S_UK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Potrafi posługiwać się źródłami prawa unijnego oraz orzecznictwem sądów unijnych.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K_U05,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II.X.P7S_UW.2, II.S.P7S_UW.1, II.S.P7S_UW.2.o, II.S.P7S_UW.3.o, II.H.P7S_UW.1, II.H.P7S_UW.2.o, I.P7S_UK, II.X.P7S_UW.3.o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Potrafi, jeśli miałby taką potrzebę, skorzystać z instytucji sądowego systemu ochrony prawnej w Unii Europejskiej.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K_U05,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II.S.P7S_UW.1, II.S.P7S_UW.2.o, II.S.P7S_UW.3.o, II.H.P7S_UW.1, II.H.P7S_UW.2.o, I.P7S_UW, II.X.P7S_UW.2, I.P7S_UK, II.X.P7S_UW.3.o</w:t>
      </w:r>
    </w:p>
    <w:p>
      <w:pPr>
        <w:keepNext w:val="1"/>
        <w:spacing w:after="10"/>
      </w:pPr>
      <w:r>
        <w:rPr>
          <w:b/>
          <w:bCs/>
        </w:rPr>
        <w:t xml:space="preserve">Charakterystyka U_05: </w:t>
      </w:r>
    </w:p>
    <w:p>
      <w:pPr/>
      <w:r>
        <w:rPr/>
        <w:t xml:space="preserve">Potrafi, jeśli miałby taką potrzebę, skorzystać z instytucji pozasądowego systemu ochrony prawnej w Unii Europejskiej.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K_U06,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II.S.P7S_UW.1, II.S.P7S_UW.2.o, II.S.P7S_UW.3.o, II.H.P7S_UW.1, II.H.P7S_UW.2.o, I.P7S_UW, I.P7S_UK, II.X.P7S_UW.3.o, II.X.P7S_UW.2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Ma świadomość poziomu swojej wiedzy i umiejętności z zakresu systemu ochrony prawnej w Unii Europejskiej.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I.P7S_KR, I.P7S_KO, I.P7S_KK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Ma świadomość znaczenia systemu ochrony prawnej w Unii Europejskiej, zwłaszcza dla ochrony praw jednostki.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I.P7S_KR, I.P7S_KO, I.P7S_KK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Ma świadomość problemów politycznych i etycznych występujących w procesie rozwoju systemu ochrony prawnej w Unii Europejskiej.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I.P7S_KR, I.P7S_KO, I.P7S_KK</w:t>
      </w:r>
    </w:p>
    <w:p>
      <w:pPr>
        <w:keepNext w:val="1"/>
        <w:spacing w:after="10"/>
      </w:pPr>
      <w:r>
        <w:rPr>
          <w:b/>
          <w:bCs/>
        </w:rPr>
        <w:t xml:space="preserve">Charakterystyka K_04: </w:t>
      </w:r>
    </w:p>
    <w:p>
      <w:pPr/>
      <w:r>
        <w:rPr/>
        <w:t xml:space="preserve">Docenia znaczenie orzecznictwa TSUE dla rozwoju prawa unijnego i ochrony praw jednostki.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I.P7S_KR, I.P7S_KO, I.P7S_KK</w:t>
      </w:r>
    </w:p>
    <w:p>
      <w:pPr>
        <w:keepNext w:val="1"/>
        <w:spacing w:after="10"/>
      </w:pPr>
      <w:r>
        <w:rPr>
          <w:b/>
          <w:bCs/>
        </w:rPr>
        <w:t xml:space="preserve">Charakterystyka K_05: </w:t>
      </w:r>
    </w:p>
    <w:p>
      <w:pPr/>
      <w:r>
        <w:rPr/>
        <w:t xml:space="preserve">Rozumie konieczność dalszego doskonalenia zawodowego i rozwoju osobistego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I.P7S_KR, I.P7S_KO,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2026-10-18T21:47:04+02:00</dcterms:created>
  <dcterms:modified xsi:type="dcterms:W3CDTF">2026-10-18T21:47:04+02:00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