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30 godz. praca na zajęciach, 20 godz. studiowanie literatury, 10 godz. przygotowanie do testu zaliczeniowego, 10 godz. przygotowanie referatu z prezentacją multimedialną, 5 godz. poszukiwanie informacji i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przewidziano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na przedmiotach "Ekonomia rynkowa", "Mikro - i makroekonomia".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w zakresie ekonomii o nurt behawioralny. W szczególności o podstawy: - teorii gier i teorii agencji, - anomalii zachowań ekonomicznych w świetle badań psychologicznych, - nieracjonalności zachowań, - teorii aukcji i negocjacji jako form ustalania cen rynkowych, - teorii podziału, - podejścia do ryzyka, - teorii perspektywy, - rozwoju ekonomicznego od strony postaw i preferencji.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Nakładanie podatków i koncesjonowanie jako metody poprawy efektywności gospodarki zasobami. 11. Gry ewolucyjne („dylemat więźnia”, „gołębie i jastrzębie” i inne). Gry jednokrotne i wielokrotne. 12. Rodzaje i przebieg aukcji jako gry gospodarczej. 13. Negocjacje jako forma gry ekonomicznej. Wybór strategii: kooperacja czy nielojalność. 14. Podział dóbr jako gra ekonomiczna. Zasada sprawiedliwego podziału. 15. Behawioralne przyczyny różnic w poziomie bogactwa. Polaryzacja bogactwa jako źródło problemów gospodarczych 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 Ocena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na ocenę 4,5 a ponadto samodzielnie opracował i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D. S. Landes Bogactwo i nędza narodów, wyd. Muza SA, Warszawa 2000 2. M. Shermer Rynkowy umysł, wyd. CIS, Warszawa 2009 3. G. Soros Nowy paradygmat rynków finansowych, wyd. MT Biznes,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W_EBH_1: </w:t>
      </w:r>
    </w:p>
    <w:p>
      <w:pPr/>
      <w:r>
        <w:rPr/>
        <w:t xml:space="preserve">Zna podstawową terminologię w zakresie ekonomii behawioralnej, rozumie jej źródła i zastosowania w procesach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zajęciach, analiza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I.P7S_WK, II.X.P7S_WG.1.o,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W_EBH_2: </w:t>
      </w:r>
    </w:p>
    <w:p>
      <w:pPr/>
      <w:r>
        <w:rPr/>
        <w:t xml:space="preserve">Ma wiedzę na temat możliwej nieracjonalności ekonomicznej ludzkich zachowań i ich konsekwencjach dla prowadzenia polityki społeczno-gospodarczej.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dyskusji, analizy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U_EBH_1: </w:t>
      </w:r>
    </w:p>
    <w:p>
      <w:pPr/>
      <w:r>
        <w:rPr/>
        <w:t xml:space="preserve">Posługuje się poznanymi teoriami w działaniu, w szczególności rozumie potrzebę oddziaływania przepisów prawa oraz procedur na zachowanie racjonalności przy podejmowaniu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U_EBH_2: </w:t>
      </w:r>
    </w:p>
    <w:p>
      <w:pPr/>
      <w:r>
        <w:rPr/>
        <w:t xml:space="preserve">Potrafi wskazać zastosowanie rozwiązań technicznych, ułatwiających uniknięcie nieracjonalności w procesie decyzyjnym.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II.T.P7S_UW.2, II.X.P7S_UW.2,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K_EBH_1: </w:t>
      </w:r>
    </w:p>
    <w:p>
      <w:pPr/>
      <w:r>
        <w:rPr/>
        <w:t xml:space="preserve">Ma nawyk profesjonalnej refleksji odnośnie zachowania racjonalności ekonomicznej w obszarach ekonomii i finansów, jak oszczędzanie, podatki, ubezpieczenia, przebieg aukcji czy przetargów.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referatu, studia przypadków,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2026-02-25T10:34:33+01:00</dcterms:created>
  <dcterms:modified xsi:type="dcterms:W3CDTF">2026-02-25T10:34:33+01:00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