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godz.;
c) konsultacje - 4 godz.
2. Praca własna studenta - 41 godzin, w tym:
a) przygotowanie do laboratorium - 15 godz.;
b) opracowanie sprawozdań - 16  godz.;
c) przygotowanie do kolokwiów -  20  godz.;
Łącznie -100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 ECTS 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przygotowanie do laboratorium - 15 godz.;
b) opracowanie sprawozdań - 16  godz.;
c) laboratorium -15 godz.;
d) konsultacje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
4. (Wiesław Stafiej "Obliczenia stosowane przy projektowaniu szybowców" PW 2000 )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ML.NS652A_W3: </w:t>
      </w:r>
    </w:p>
    <w:p>
      <w:pPr/>
      <w:r>
        <w:rPr/>
        <w:t xml:space="preserve">							Zna charakterystyki zmęczeniowe materiałów używanych w lotnictwie oraz oddziaływanie spiętrzeń naprężeń.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sprawozdania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LiK2_W20, 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LiK2_U11,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ML.NS652A_U4: </w:t>
      </w:r>
    </w:p>
    <w:p>
      <w:pPr/>
      <w:r>
        <w:rPr/>
        <w:t xml:space="preserve">							Potrafi zdygitalizować właściwości cykliczne materiałów lub struktur opisane w postaci wykresów Haigha lub krzywych S-N.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LiK2_U11,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2026-10-19T13:48:16+02:00</dcterms:created>
  <dcterms:modified xsi:type="dcterms:W3CDTF">2026-10-19T13:48:16+02:00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