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15
czytanie wskazanej literatury: 15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W_KWK01: </w:t>
      </w:r>
    </w:p>
    <w:p>
      <w:pPr/>
      <w:r>
        <w:rPr/>
        <w:t xml:space="preserve">Student ma podstawową wiedzę dotyczącą różnic w zakresie przygotowania informacji przez człowieka i maszynę.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W_KWK02: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U_KWK01: </w:t>
      </w:r>
    </w:p>
    <w:p>
      <w:pPr/>
      <w:r>
        <w:rPr/>
        <w:t xml:space="preserve">Potrafi zająć własne stanowisko na temat pozytywnych i 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K_KWK01: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2026-08-16T10:10:47+02:00</dcterms:created>
  <dcterms:modified xsi:type="dcterms:W3CDTF">2026-08-16T10:10:47+02:00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