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korporacyjna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A. Grzeszczyk,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ćwiczenia + 10h przygotowanie do zajęć, przygotowanie projektów i prezentacji + 10h zapoznanie z literaturą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
15h wykład + 15h ćwiczenia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 
15h ćwiczenia + 10h przygotowanie do zajęć, przygotowanie projektów i prezentacji + 10h zapoznanie z literaturą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Obsługa programów MS Office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teoretycznej wiedzy dotyczącej architektury korporacyjnej oraz praktycznych umiejętności jej projektowania, ze szczególnym uwzględnieniem struktur bazujących na systemach inteligentnych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i prezentacja regulaminu przedmiotu. Geneza i istota ładu korporacyjnego, procesów biznesowych wspieranych technologiami ICT i ładu architektonicznego. Kontinuum korporacyjne. Definicja architektury korporacyjnej. Zawód: architekt korporacyjny.
2. Modelowanie przedsiębiorstwa. Struktura, funkcje i powiązania po-szczególnych komponentów firmy. Ocena poziomu dojrzałości archi-tektury. Zaspokajanie potrzeb informacyjnych przedsiębiorstwa.
3. Wybrane modele i metody opisu architektury korporacyjnej. Plano-wanie i wdrażanie architektury korporacyjnej. 
4. Zarządzanie strategiczne, architektura korporacyjna, zarządzanie projektami i programami. 
5. Strategia biznesowa i strategia informatyzacji. Architektura korporacyjna i sztuczna inteligencja. Wyzwania ery Przemysłu 4.0 i Zarządzania 4.0.
6. Perspektywy rozwoju architektury korporacyjnej.
B. Ćwiczenia: 
1. Architektury korporacyjne w różnych przedsiębiorstwach.
2. Zasady projektowania architektur: biznesowych, danych, aplikacji, wiedzy i technologii.
3. Gromadzenie danych empirycznych dotyczących badanych przedsiębiorstw. Analiza i diagnoza stanu początkowego firm z uwzględnieniem przyjętej strategii oraz ich potrzeb informacyjnych. 
4. Proces planowania pożądanego stanu docelowego dla badanych przedsiębiorstw. Określanie możliwych sposobów osiągnięcia stanu docelowego. 
5. Prezentacje projektów studenckich.
6. Wystawianie i poprawianie ocen końcowych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związana z aktywności studentów podczas zajęć
2. Ocena sumatywna: sprawdzian końcowy w formie dyskusji.
B. Ćwiczenia: 
1. Ocena formatywna: dotyczy przedstawiania prezentacji oraz aktywnego uczestnictwa w dyskusjach związanych z projektami studentów.
2. Ocena sumatywna: dotyczy wartości merytorycznej przedstawionych projektów.
E. Końcowa ocena z przedmiotu: średnia arytmetyczna oceny z ćwiczeń i egzaminu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Marc L. i in., 2017. Enterprise Architecture at Work: Modelling, Communication and Analysis. Berlin Heidelberg: Springer-Verlag.
2.	Ross J. W., Weill P., Robertson D. C., 2010. Architektura korporacyjna jako strategia budowanie fundamentu w biznesie. Warszawa: Studio Emka.
Uzupełniająca:
1.	Grzeszczyk, T. A., 2018. Mixed Intelligent Systems: Developing Models for Project Management and Evaluation. Palgrave Macmil-lan/Springer International Publishing AG.
2.	Skilton, M., Hovsepian, F., 2018. The 4th Industrial Revolution: Responding to the Impact of Artificial Intelligence on Business. Palgrave Macmillan/Springer International Publishing AG.
3.	Stirna, J., Persson, A., 2018. Enterprise Modeling: Facilitating the Process and the People. Springer International Publishing AG.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Każdy projekt powinien być zaprezentowany na zajęciach. Ocenie podlegają zarówno wartości merytoryczne projektów, jak również sposoby ich prezentacji. Warunkiem dopuszczenia do egzaminu końcowego jest uzyskanie co najmniej dostatecznej oceny z ćwiczeń.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Teoria oraz ogólna metodologia badań w zakresie zarządzania, ze szczególnym uwzględnieniem zarządzania przedsiębiorstwem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teoretycznego sprawdzianu, 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Z1_W09: </w:t>
      </w:r>
    </w:p>
    <w:p>
      <w:pPr/>
      <w:r>
        <w:rPr/>
        <w:t xml:space="preserve">Teoria oraz ogólna metodologia badań w zakresie zastosowań narzędzi informatycznych w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teoretycznego sprawdzianu, 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Identyfikowanie i interpretowanie podstawowych zjawisk i procesów społecznych z wykorzystaniem wiedzy z zakresu zarządzania, ze szczególnym uwzględnieniem uwarunkowań zarządzania przedsiębiorstwem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Z1_U16: </w:t>
      </w:r>
    </w:p>
    <w:p>
      <w:pPr/>
      <w:r>
        <w:rPr/>
        <w:t xml:space="preserve">Dokonywanie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Krytyczna ocena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teoretycznego sprawdzianu, 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Uznawanie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2026-09-06T13:51:15+02:00</dcterms:created>
  <dcterms:modified xsi:type="dcterms:W3CDTF">2026-09-06T13:51:15+02:00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