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PSW1/2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30 h - wykłady, 4 h -konsultacje, 5 h - zaliczenia i dodakowe zaliczenia,  2h - przygotowanie pracy, 5 h - przygotowanie do
zaliczenia, 4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1,4 - wykłady, egzaminy
0,16 -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Formułowanie strategii sprzedaży. 3. Organizowanie procesu sprzedaży. 4. Kierowanie bieżącą działalnością sprzedaży. 5. Kontrola, analiza i ocena działalności sprzedawców. 6. Modele dystrybucji i obsługi klienta: handel hurtowy i detaliczny, handel elektroniczny; formy i zakres obsługi klienta, wybór kanałów dystrybucji; integracja pionowa i pozioma stosowana w kanałach dystrybucji.
7. Zarządzanie sprzedażą w handlu: rozwiązania klasyczne i nowoczesne, merchandising, franchising.
8. Modele wynagrodzeń i systemy premiowe stosowane w handlu, efektywność programów lojalnościowych, pomiar / analiza skuteczności sprzedaży.
9. Uwarunkowania strategii zarządzania sprzedażą: otoczenie bliższe i dalsze handlu hurtowego i detalicznego; segmentacja rynku i rozmiar rynku, wybór metod i narzędzi obsługi klientów. 
10. Globalizacja handlu, specjalizacja i uniwersalizacja handlu w Polsce i w UE – tendencje i kierunki zmian
</w:t>
      </w:r>
    </w:p>
    <w:p>
      <w:pPr>
        <w:keepNext w:val="1"/>
        <w:spacing w:after="10"/>
      </w:pPr>
      <w:r>
        <w:rPr>
          <w:b/>
          <w:bCs/>
        </w:rPr>
        <w:t xml:space="preserve">Metody oceny: </w:t>
      </w:r>
    </w:p>
    <w:p>
      <w:pPr>
        <w:spacing w:before="20" w:after="190"/>
      </w:pPr>
      <w:r>
        <w:rPr/>
        <w:t xml:space="preserve">1. Forma i przebieg  zaliczenia przedmiotu: 
- Forma: 1 kolokwium, forma pytań – otwarta, ilość pytań: 6, 
- jeden termin poprawkowy, który obniża ilość uzyskanych punktów o 1 
2. Czynniki decydujące o zaliczeniu przedmiotu i wpływające na ocenę końcową (jednocześnie wszystkie wymienione czynniki):
- wynik uzyskany kolokwium (6 punktów)
- aktywność na zajęciach (max 1 punkty) 
3. Zasady oceniania
Liczba punktów - Ocena
poniżej 3 pkt. - ndst
3 pkt. - dst
4 - dst+
4.5 pkt. - db
5 pkt - db+ 
6 pkt. -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2026-09-04T20:44:54+02:00</dcterms:created>
  <dcterms:modified xsi:type="dcterms:W3CDTF">2026-09-04T20:44:54+02:00</dcterms:modified>
</cp:coreProperties>
</file>

<file path=docProps/custom.xml><?xml version="1.0" encoding="utf-8"?>
<Properties xmlns="http://schemas.openxmlformats.org/officeDocument/2006/custom-properties" xmlns:vt="http://schemas.openxmlformats.org/officeDocument/2006/docPropsVTypes"/>
</file>