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- 90,  obejmuje:
1) godziny kontaktowe – 55, w tym: obecność na wykładach – 30 godzin, udział w ćwiczeniach – 15 godzin, udział w konsultacjach do wykładu i ćwiczeń – 10 godzin;
2) przygotowanie się do ćwiczeń, kolokwiów, egzaminu – 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wykłady (30 godzin), ćwiczenia (15 godzin), konsultacje do ćwiczeń i wykładów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II. 1 Zapoznanie P.T. Studentów z układami równań różniczkowych zwyczajnych rzędu pierwszego.
II.2 Zapoznanie P.T. Studentów z równaniami różniczkowymi cząstkowymi rzędu pierwszego (liniowymi i quasi-liniowymi) oraz rzędu
drugiego (liniowymi).
II.3 Zapoznanie P.T. Studentów z elementami teorii krzywych i powierzchni.
II.3 Zapoznanie P.T. Studentów z istotą pojęcia tensora (opcjonalnie).</w:t>
      </w:r>
    </w:p>
    <w:p>
      <w:pPr>
        <w:keepNext w:val="1"/>
        <w:spacing w:after="10"/>
      </w:pPr>
      <w:r>
        <w:rPr>
          <w:b/>
          <w:bCs/>
        </w:rPr>
        <w:t xml:space="preserve">Treści kształcenia: </w:t>
      </w:r>
    </w:p>
    <w:p>
      <w:pPr>
        <w:spacing w:before="20" w:after="190"/>
      </w:pPr>
      <w:r>
        <w:rPr/>
        <w:t xml:space="preserve">Wykład
1. Układy równań różniczkowych zwyczajnych rzędu pierwszego - 2 h
2. Równania różniczkowe cząstkowe – wiadomości ogólne - 2 h
3. Przekształcenie Laplace’a i jego pewne zastosowania - 8 h
4. Równania różniczkowe cząstkowe liniowe i quasi-liniowe rzędu pierwszego - 4 h
5. Klasyfikacja i postać kanoniczna równań różniczkowych cząstkowych liniowych rzędu drugiego - 6 h
6. Elementy teorii klasycznej geometrii różniczkowej w kontekście modelowania krzywych i powierzchni - 8 h
Ćwiczenia audytoryjne
1. Rozwiązywanie układów równań różniczkowych zwyczajnych rzędu pierwszego metodą eliminacji - 2 h
2. Równanie struny (według d’Alemberta) oraz równanie błony - 2 h
3. Rozwiązywanie równań różniczkowych zwyczajnych metodą operatorową - 4 h
4. Klasyfikacja i postać kanoniczna równań różniczkowych cząstkowych liniowych rzędu drugiego z dwiema niewiadomymi - 4 h
5. Wyznaczanie reperu Freneta dla sparametryzowanej, różniczkowalnej krzywej. Wyznaczanie i aplikacyjność pierwszej i drugiej formy kwadratowej sparametryzowanej powierzchni regularnej - 3 h</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1 godz. lek., a więc w sumie 15 godz. lek.. Ćwiczenia zaliczane są na podstawie wyniku pisemnej pracy
kontrolnej-kolokwium zadaniowego (w formie zadań otwartych do samodzielnego rozwiązania), na wyznaczonych zajęciach (XIII tydz.
harmonogramu semestru). Zakres treści kolokwialnych precyzuje kierownik przedmiotu; wówczas zadania przygotowuje i ocenia prowadzący
ćwiczenia. Podczas kolokwium P.T. Student nie może korzystać z notatek, wzorów i telefonów komórkowych. Jeden termin poprawkowy
przysługuje osobom, które nie zaliczyły ćwiczeń, na końcu semestru (XV tydz. harmonogramu semestru). Nieobecność na ćwiczeniach można
odrobić na odpowiednich zajęciach w innej grupie.
Sposób obliczania oceny końcowej (dla przedmiotu lub modułu)
Ćwiczenia. Kolokwium jest na max. 40 punktów.
Oceny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(pełny tekst dostępny na libra.ibuk.pl)
2. R. Leitner, W.Matuszewski, Z.Rojek, Zadania z matematyki wyższej, cz.I., cz.II., WN-T, W-wa 1994 9pełny tekst dostępny na libra.ibuk.pl)
3. W. Żakowski, W. Leksiński, Matematyka, cz IV., WN-T, W-wa 2013
4. E. Kącki, L. Siewierski, Wybrane działy matematyki wyższej z ćwiczeniami, PWN, W-wa 1985
5. G.M. Fichtenholz, Rachunek różniczkowy i całkowy, t.I., t.II., PWN, W-wa 2012
6. T. Trajdos, Matematyka, cz III., WN-T, W-wa 2013
7. J. Oprea, Geometria różniczkowa i jej zastosowania, Wydawnictwo Naukowe PWN, W-wa 2002
6.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MAT4_W01: </w:t>
      </w:r>
    </w:p>
    <w:p>
      <w:pPr/>
      <w:r>
        <w:rPr/>
        <w:t xml:space="preserve">ma wiedzę z zakresu matematyki obejmującą: analizę matematyczną funkcji zespolonych
zmiennej rzeczywistej albo zmiennej zespolonej, elementy teorii operacji różniczkowych w polu wektorowym i całek powierzchniowych;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efekty kierunkowe: </w:t>
      </w:r>
      <w:r>
        <w:rPr/>
        <w:t xml:space="preserve">IM_U01, IM_U05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2026-02-24T18:35:45+01:00</dcterms:created>
  <dcterms:modified xsi:type="dcterms:W3CDTF">2026-02-24T18:35:45+01:00</dcterms:modified>
</cp:coreProperties>
</file>

<file path=docProps/custom.xml><?xml version="1.0" encoding="utf-8"?>
<Properties xmlns="http://schemas.openxmlformats.org/officeDocument/2006/custom-properties" xmlns:vt="http://schemas.openxmlformats.org/officeDocument/2006/docPropsVTypes"/>
</file>