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to 15 godzin, w tym 1 godzina - wprowadzenie do ćwiczeń, 11 godzin – praca własna studentów nad powierzonym zadaniem eksperymentalnym, 3 godziny – końcowa prezentacja wyników badań</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Synteza wiedzy zdobytej z zakresu fizyki odkształcenia plastycznego i połączenie wiedzy teoretycznej z eksperymentalną 
2. Uświadomienie istoty mechanizmów umocnienia i odkształcania materiałów. 
3. Zrozumienie procesów fizycznych zachodzących podczas kształtowania i eksploatacji materiałów. 
4.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i przedstawienie wyników w formie prezentacji końcowej.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3. Wpływ karbu na własności plastyczne metali. 
4. Wyznaczanie współczynnika czułości na prędkość odkształcania 
5. Anizotropia właściwości mechanicznych (współczynnik Lankforda)</w:t>
      </w:r>
    </w:p>
    <w:p>
      <w:pPr>
        <w:keepNext w:val="1"/>
        <w:spacing w:after="10"/>
      </w:pPr>
      <w:r>
        <w:rPr>
          <w:b/>
          <w:bCs/>
        </w:rPr>
        <w:t xml:space="preserve">Metody oceny: </w:t>
      </w:r>
    </w:p>
    <w:p>
      <w:pPr>
        <w:spacing w:before="20" w:after="190"/>
      </w:pPr>
      <w:r>
        <w:rPr/>
        <w:t xml:space="preserve">Niezbędnym do uzyskania zaliczenia z przedmiotu jest uzyskanie pozytywnej oceny z raportu z badań dotyczących przydzielonej tematyki badawczej oraz ocena pozytywna z prezentacji końcowej wyników badań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Warszawa 1999. 
4. R. Pampuch, Materiały ceramiczne: zarys nauki o materiałach nieorganiczno-niemetalicznych, 1998. 
5. K. Przybyłowicz, Strukturalne aspekty odkształcania metali,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IM2_U01, IM2_U05, IM2_U07, IM2_U09, IM2_U12, IM2_U20</w:t>
      </w:r>
    </w:p>
    <w:p>
      <w:pPr>
        <w:spacing w:before="20" w:after="190"/>
      </w:pPr>
      <w:r>
        <w:rPr>
          <w:b/>
          <w:bCs/>
        </w:rPr>
        <w:t xml:space="preserve">Powiązane efekty obszarowe: </w:t>
      </w:r>
      <w:r>
        <w:rPr/>
        <w:t xml:space="preserve">T2A_U01, T2A_U05, T2A_U07, T2A_U09, T2A_U11, 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2025-10-31T06:39:20+01:00</dcterms:created>
  <dcterms:modified xsi:type="dcterms:W3CDTF">2025-10-31T06:39:20+01:00</dcterms:modified>
</cp:coreProperties>
</file>

<file path=docProps/custom.xml><?xml version="1.0" encoding="utf-8"?>
<Properties xmlns="http://schemas.openxmlformats.org/officeDocument/2006/custom-properties" xmlns:vt="http://schemas.openxmlformats.org/officeDocument/2006/docPropsVTypes"/>
</file>