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Pękanie materiałów/ Fracture of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tym, obecność na wykładach - 30 godz., udział w ćwiczeniach - 30 godz., samodzielna praca studenta - 30 godz. (przygotowanie się  do ćwiczeń -analiza literatury, opracowanie referatu; przygotowanie się do kolokwium.).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Mechanizmy Niszczenia Materiałów (wykład i laboratorium)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pękania materiałów w wyniku działania obciążeń mechanicznych, rozwoju teorii dotyczących pękania i metodach badania.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Koncepcje Griffitha: bilans energii powierzchniowej i odkształcenia sprężystego. Koncepcje Orowana: czułość na karb i wytrzymałość materiałów. Bilans energii pękania i energii odkształcenia sprężystego według koncepcji Irwina. Analiza zjawisk na wierzchołku pęknięcia z wykorzystaniem koncepcji Peierlsa i Rice’a. Pękanie ciągliwe – wzrost pustek i rola niejednorodności pustek w pękaniu ciągliwym. Dyskretna mechanika pękania. Zmęczenie materiałów. Zastosowanie Dynamiki Molekularnej w analizie pękania. Nieliniowa mechanika pękania. Analiza strefy procesu pękania w nieliniowej mechanice pękania.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kolokwium z części wykładowej oraz referatu z części seminaryjnej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
1. A. Neimitz, Mechanika Pękania, WN PWN, Warszawa 1998. 
2. A. Bochenek, Elementy mechaniki pękania, Cz. 1, Wydaw. Politechn. Częstochowskiej, Częstochowa 1998. 
3. J.W. Wyrzykowski, J. Sieniawski, E. Pleszakow, Odkształcanie i Pękanie Metali, WNT 1998.
 4. S. Kocańda, Zmęczeniowe pękanie metali, WNT, Warszawa 1985. 
5. Literatura źródłowa, podawana na wykładach.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PM_W1: </w:t>
      </w:r>
    </w:p>
    <w:p>
      <w:pPr/>
      <w:r>
        <w:rPr/>
        <w:t xml:space="preserve">Zna pojęcia związane z pękaniem materiałów, podstawowe teorie oraz związki pomiędzy strukturą i  odpornością na pękanie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wygłoszonego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PM_U1: </w:t>
      </w:r>
    </w:p>
    <w:p>
      <w:pPr/>
      <w:r>
        <w:rPr/>
        <w:t xml:space="preserve">Potrafi przeanalizować i zaprezentować wybrane zagadnienie z zakresu pękania materiałów. W trakcie wygłaszania referatu student potrafi prowadzić dyskusję. Przy przygotowywaniu wystąpienia student wykorzystuje technologie informacyjno-komunikacyjne.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wygłoszenia referatu,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IM2_U02, IM2_U04, IM2_U05, IM2_U07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T2A_U04, T2A_U05, T2A_U07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2025-07-08T01:58:07+02:00</dcterms:created>
  <dcterms:modified xsi:type="dcterms:W3CDTF">2025-07-08T01:58:07+02:00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