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tkankowa/ Tissue Engineering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Wojciech Święszkowski,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INZT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- 28 godzin.
Kolokwium - 2 godziny.
Przygotowanie do kolokwium - 20 godzin.
Razem -.50 godzin = 2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- 28 godzin.
Kolokwium - 2 godziny.
Konsultacje - 20 godzin.
Razem - 50 godzin=2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Materiałach, Chemia, Mechanika, Biomateriały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zapoznanie studenta z podstawami inżynierii tkankowej i genetycznej. Zaprezentowane zostaną biomateriały oraz podłoża komórkowe stosowane w regeneracji tkanek. Omówione zostaną podstawowe zasady hodowli komórkowych in vitro. Ponadto podane zostaną przykłady zastosowanie inżynierii tkankowej w  praktyce klinicznej.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do inżynierii tkankowej, Kultury komórkowe i tkankowe oraz czynniki wzrostu, Odziaływanie biomateriału z komórką, Biomateriały w inżynierii tkankowej, Projektowanie, wytwarzanie i charakteryzowanie podłoży dla komórek, Metody modyfikacji powierzchni materiałów na rusztowania komórkowe, Przykłady produktów inżynierii tkankowej, Prawne i etyczne aspekty dotyczące inżynierii tkankowej i genetycznej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R. Lanza, R.Langer, J.Vacanti. Principles of Tissue Engineering, 3rd Edition. Academic Press. 2007.
2. S. Stokłosowa (praca zbiorowa) “Hodowla komórek i tkanek”, PWN, Warszawa 2004.
3. PX. Ma, J. Elisseeff. Scaffolding in Tissue Engineering. CRC Press. 2006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wprowadza w zagadnienia inżynierii tkankowej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IT_W1: </w:t>
      </w:r>
    </w:p>
    <w:p>
      <w:pPr/>
      <w:r>
        <w:rPr/>
        <w:t xml:space="preserve">Ma wiedzę w zakresie rozwiązań inżynierskich stosowanych w regeneracji tkanek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IT_W2: </w:t>
      </w:r>
    </w:p>
    <w:p>
      <w:pPr/>
      <w:r>
        <w:rPr/>
        <w:t xml:space="preserve">Ma wiedzę w zakresie biomateriałów stosowanych w inżynierii tkankowej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IT_W3: </w:t>
      </w:r>
    </w:p>
    <w:p>
      <w:pPr/>
      <w:r>
        <w:rPr/>
        <w:t xml:space="preserve">Zna i rozumie procesy zachodzące na granicy biomateriał komórka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</w:t>
      </w:r>
    </w:p>
    <w:p>
      <w:pPr>
        <w:keepNext w:val="1"/>
        <w:spacing w:after="10"/>
      </w:pPr>
      <w:r>
        <w:rPr>
          <w:b/>
          <w:bCs/>
        </w:rPr>
        <w:t xml:space="preserve">Efekt IT_W4: </w:t>
      </w:r>
    </w:p>
    <w:p>
      <w:pPr/>
      <w:r>
        <w:rPr/>
        <w:t xml:space="preserve">Student posiada ogólną wiedzę dot. prawnych i atycznych aspektów dotyczących inżynierii tkankowej i genetycznej.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IT_U1: </w:t>
      </w:r>
    </w:p>
    <w:p>
      <w:pPr/>
      <w:r>
        <w:rPr/>
        <w:t xml:space="preserve">Potrafi dobierać biomateriały na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p>
      <w:pPr>
        <w:keepNext w:val="1"/>
        <w:spacing w:after="10"/>
      </w:pPr>
      <w:r>
        <w:rPr>
          <w:b/>
          <w:bCs/>
        </w:rPr>
        <w:t xml:space="preserve">Efekt IT_U2: </w:t>
      </w:r>
    </w:p>
    <w:p>
      <w:pPr/>
      <w:r>
        <w:rPr/>
        <w:t xml:space="preserve">Potrafi projektować 3D podłoża komórkowe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2026-05-30T00:36:29+02:00</dcterms:created>
  <dcterms:modified xsi:type="dcterms:W3CDTF">2026-05-30T00:36:29+02:00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