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tkankowa/ Tissue Engineering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Wojciech Święszkowski,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INZT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- 28 godzin.
Kolokwium - 2 godziny.
Przygotowanie do kolokwium - 20 godzin.
Razem 50 godzin =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- 28 godzin.
Kolokwium - 2 godziny.
Przygotowanie do kolokwium - 20 godzin.
Razem 50 godzin = 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Nauki o Materiałach, Chemia, Mechanika, Biomateriały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jest zapoznanie studenta z podstawami inżynierii tkankowej i genetycznej. Zaprezentowane zostaną biomateriały oraz podłoża komórkowe stosowane w regeneracji tkanek. Omówione zostaną podstawowe zasady hodowli komórkowych in vitro. Ponadto podane zostaną przykłady zastosowanie inżynierii tkankowej w  praktyce klinicznej.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do inżynierii tkankowej, Kultury komórkowe i tkankowe oraz czynniki wzrostu, Odziaływanie biomateriału z komórką, Biomateriały w inżynierii tkankowej, Projektowanie, wytwarzanie i charakteryzowanie podłoży dla komórek, Metody modyfikacji powierzchni materiałów na rusztowania komórkowe, Przykłady produktów inżynierii tkankowej, Prawne i etyczne aspekty dotyczące inżynierii tkankowej i genetycznej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 R. Lanza, R.Langer, J.Vacanti. Principles of Tissue Engineering, 3rd Edition. Academic Press. 2007.
2 S. Stokłosowa (praca zbiorowa) “Hodowla komórek i tkanek”, PWN, Warszawa 2004.
3 PX. Ma, J. Elisseeff. Scaffolding in Tissue Engineering. CRC Press. 2006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wprowadza w zagadnienia inżynierii tkankowej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IT_W1: </w:t>
      </w:r>
    </w:p>
    <w:p>
      <w:pPr/>
      <w:r>
        <w:rPr/>
        <w:t xml:space="preserve">Ma wiedzę w zakresie rozwiązań inżynierskich stosowanych w regeneracji tkanek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keepNext w:val="1"/>
        <w:spacing w:after="10"/>
      </w:pPr>
      <w:r>
        <w:rPr>
          <w:b/>
          <w:bCs/>
        </w:rPr>
        <w:t xml:space="preserve">Efekt IT_W2: </w:t>
      </w:r>
    </w:p>
    <w:p>
      <w:pPr/>
      <w:r>
        <w:rPr/>
        <w:t xml:space="preserve">Ma wiedzę w zakresie biomateriałów stosowanych w inżynierii tkankowej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keepNext w:val="1"/>
        <w:spacing w:after="10"/>
      </w:pPr>
      <w:r>
        <w:rPr>
          <w:b/>
          <w:bCs/>
        </w:rPr>
        <w:t xml:space="preserve">Efekt IT_W3: </w:t>
      </w:r>
    </w:p>
    <w:p>
      <w:pPr/>
      <w:r>
        <w:rPr/>
        <w:t xml:space="preserve">Zna i rozumie procesy zachodzące na granicy biomateriał komórka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keepNext w:val="1"/>
        <w:spacing w:after="10"/>
      </w:pPr>
      <w:r>
        <w:rPr>
          <w:b/>
          <w:bCs/>
        </w:rPr>
        <w:t xml:space="preserve">Efekt IT_W4: </w:t>
      </w:r>
    </w:p>
    <w:p>
      <w:pPr/>
      <w:r>
        <w:rPr/>
        <w:t xml:space="preserve">Student posiada ogólną wiedzę dot. prawnych i etycznych aspektów dotyczących inżynierii tkankowej i genetycznej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IT_U1: </w:t>
      </w:r>
    </w:p>
    <w:p>
      <w:pPr/>
      <w:r>
        <w:rPr/>
        <w:t xml:space="preserve">Potrafi dobierać biomateriały na podłoża komórkowe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</w:t>
      </w:r>
    </w:p>
    <w:p>
      <w:pPr>
        <w:keepNext w:val="1"/>
        <w:spacing w:after="10"/>
      </w:pPr>
      <w:r>
        <w:rPr>
          <w:b/>
          <w:bCs/>
        </w:rPr>
        <w:t xml:space="preserve">Efekt IT_U2: </w:t>
      </w:r>
    </w:p>
    <w:p>
      <w:pPr/>
      <w:r>
        <w:rPr/>
        <w:t xml:space="preserve">Potrafi projektować 3D podłoża komórkowe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2026-10-19T15:08:54+02:00</dcterms:created>
  <dcterms:modified xsi:type="dcterms:W3CDTF">2026-10-19T15:08:54+02:00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